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2F2E8">
      <w:pPr>
        <w:spacing w:after="60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200D8A25">
      <w:pPr>
        <w:spacing w:after="60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PHỤ LỤC</w:t>
      </w:r>
    </w:p>
    <w:p w14:paraId="42797B71">
      <w:pPr>
        <w:spacing w:after="60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Hiệu chỉnh một số nội dung HSMT</w:t>
      </w:r>
    </w:p>
    <w:p w14:paraId="49817B43">
      <w:pPr>
        <w:spacing w:after="60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Gói thầu số 09: Cung cấp và vận chuyển dây dẫn, dây chống sét</w:t>
      </w:r>
    </w:p>
    <w:p w14:paraId="076291AF">
      <w:pPr>
        <w:spacing w:after="60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Dự án: Đường dây 220kV 500kV  Hải Phòng - Gia Lộc</w:t>
      </w:r>
    </w:p>
    <w:tbl>
      <w:tblPr>
        <w:tblStyle w:val="19"/>
        <w:tblpPr w:leftFromText="180" w:rightFromText="180" w:vertAnchor="text" w:tblpY="1"/>
        <w:tblOverlap w:val="never"/>
        <w:tblW w:w="1520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2153"/>
        <w:gridCol w:w="4236"/>
        <w:gridCol w:w="5162"/>
        <w:gridCol w:w="2913"/>
      </w:tblGrid>
      <w:tr w14:paraId="1E1145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tblHeader/>
        </w:trPr>
        <w:tc>
          <w:tcPr>
            <w:tcW w:w="741" w:type="dxa"/>
            <w:vAlign w:val="center"/>
          </w:tcPr>
          <w:p w14:paraId="6B7B9FF8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STT</w:t>
            </w:r>
          </w:p>
        </w:tc>
        <w:tc>
          <w:tcPr>
            <w:tcW w:w="2153" w:type="dxa"/>
            <w:vAlign w:val="center"/>
          </w:tcPr>
          <w:p w14:paraId="00B4CC2F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Hạng mục</w:t>
            </w:r>
          </w:p>
        </w:tc>
        <w:tc>
          <w:tcPr>
            <w:tcW w:w="4236" w:type="dxa"/>
            <w:vAlign w:val="center"/>
          </w:tcPr>
          <w:p w14:paraId="3309C785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HSMT duyệt theo QĐ số 5476/QĐ-NPMB ngày 05/7/2025</w:t>
            </w:r>
          </w:p>
        </w:tc>
        <w:tc>
          <w:tcPr>
            <w:tcW w:w="5162" w:type="dxa"/>
            <w:vAlign w:val="center"/>
          </w:tcPr>
          <w:p w14:paraId="193805BF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Nội dung kiến nghị</w:t>
            </w:r>
          </w:p>
          <w:p w14:paraId="154139DB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hiệu chỉnh HSMT</w:t>
            </w:r>
          </w:p>
        </w:tc>
        <w:tc>
          <w:tcPr>
            <w:tcW w:w="2913" w:type="dxa"/>
            <w:vAlign w:val="center"/>
          </w:tcPr>
          <w:p w14:paraId="02555101">
            <w:pPr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Ghi chú</w:t>
            </w:r>
          </w:p>
        </w:tc>
      </w:tr>
      <w:tr w14:paraId="62E6A1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 w14:paraId="179C8A6F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I</w:t>
            </w:r>
          </w:p>
        </w:tc>
        <w:tc>
          <w:tcPr>
            <w:tcW w:w="14464" w:type="dxa"/>
            <w:gridSpan w:val="4"/>
            <w:vAlign w:val="center"/>
          </w:tcPr>
          <w:p w14:paraId="6B7782ED">
            <w:pPr>
              <w:pStyle w:val="17"/>
              <w:spacing w:before="60" w:after="0"/>
              <w:ind w:right="103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Chương II</w:t>
            </w:r>
          </w:p>
        </w:tc>
      </w:tr>
      <w:tr w14:paraId="420AB27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1" w:type="dxa"/>
            <w:vAlign w:val="center"/>
          </w:tcPr>
          <w:p w14:paraId="25098190">
            <w:pPr>
              <w:jc w:val="center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>2</w:t>
            </w:r>
          </w:p>
        </w:tc>
        <w:tc>
          <w:tcPr>
            <w:tcW w:w="2153" w:type="dxa"/>
            <w:vMerge w:val="restart"/>
            <w:vAlign w:val="center"/>
          </w:tcPr>
          <w:p w14:paraId="78BC2BD4">
            <w:pPr>
              <w:jc w:val="both"/>
              <w:rPr>
                <w:rFonts w:ascii="Times New Roman" w:hAnsi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auto"/>
                <w:sz w:val="25"/>
                <w:szCs w:val="25"/>
              </w:rPr>
              <w:t>Mục E-CDNT 18.2</w:t>
            </w:r>
          </w:p>
        </w:tc>
        <w:tc>
          <w:tcPr>
            <w:tcW w:w="4236" w:type="dxa"/>
            <w:vAlign w:val="center"/>
          </w:tcPr>
          <w:p w14:paraId="65EA5EE5">
            <w:pPr>
              <w:jc w:val="both"/>
              <w:rPr>
                <w:rFonts w:ascii="Times New Roman" w:hAnsi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auto"/>
                <w:sz w:val="25"/>
                <w:szCs w:val="25"/>
              </w:rPr>
              <w:t xml:space="preserve">Giá trị bảo đảm dự thầu: </w:t>
            </w:r>
            <w:r>
              <w:rPr>
                <w:rFonts w:ascii="Times New Roman" w:hAnsi="Times New Roman"/>
                <w:b/>
                <w:bCs/>
                <w:color w:val="auto"/>
                <w:sz w:val="25"/>
                <w:szCs w:val="25"/>
              </w:rPr>
              <w:t>1.085.000.000 VNĐ</w:t>
            </w:r>
          </w:p>
        </w:tc>
        <w:tc>
          <w:tcPr>
            <w:tcW w:w="5162" w:type="dxa"/>
            <w:vAlign w:val="center"/>
          </w:tcPr>
          <w:p w14:paraId="6B477332">
            <w:pPr>
              <w:jc w:val="both"/>
              <w:rPr>
                <w:rFonts w:ascii="Times New Roman" w:hAnsi="Times New Roman"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bCs/>
                <w:color w:val="auto"/>
                <w:sz w:val="25"/>
                <w:szCs w:val="25"/>
              </w:rPr>
              <w:t xml:space="preserve">Giá trị bảo đảm dự thầu: </w:t>
            </w:r>
            <w:r>
              <w:rPr>
                <w:rFonts w:ascii="Times New Roman" w:hAnsi="Times New Roman"/>
                <w:b/>
                <w:i/>
                <w:iCs/>
                <w:color w:val="auto"/>
                <w:sz w:val="25"/>
                <w:szCs w:val="25"/>
              </w:rPr>
              <w:t>1.076.000.000 VNĐ</w:t>
            </w:r>
          </w:p>
        </w:tc>
        <w:tc>
          <w:tcPr>
            <w:tcW w:w="2913" w:type="dxa"/>
            <w:vAlign w:val="center"/>
          </w:tcPr>
          <w:p w14:paraId="2F1B369B">
            <w:pPr>
              <w:pStyle w:val="17"/>
              <w:spacing w:before="60" w:after="0"/>
              <w:ind w:right="103"/>
              <w:jc w:val="both"/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Phù hợp với Dự toán gói thầu được phê duyệt tại QĐ số 1369/QĐ-EVNNPT ngày 16/7/2025</w:t>
            </w:r>
          </w:p>
        </w:tc>
      </w:tr>
      <w:tr w14:paraId="670938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1" w:type="dxa"/>
            <w:vAlign w:val="center"/>
          </w:tcPr>
          <w:p w14:paraId="2F6CACF6">
            <w:pPr>
              <w:jc w:val="center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>3</w:t>
            </w:r>
          </w:p>
        </w:tc>
        <w:tc>
          <w:tcPr>
            <w:tcW w:w="2153" w:type="dxa"/>
            <w:vMerge w:val="continue"/>
            <w:vAlign w:val="center"/>
          </w:tcPr>
          <w:p w14:paraId="77342245">
            <w:pPr>
              <w:jc w:val="both"/>
              <w:rPr>
                <w:rFonts w:ascii="Times New Roman" w:hAnsi="Times New Roman"/>
                <w:bCs/>
                <w:color w:val="auto"/>
                <w:sz w:val="25"/>
                <w:szCs w:val="25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2613A728">
            <w:pPr>
              <w:jc w:val="both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 xml:space="preserve">Tại Bảng dữ liệu đấu thầu. Mục E-CDNT 18.2: </w:t>
            </w:r>
          </w:p>
          <w:p w14:paraId="5B006732">
            <w:pPr>
              <w:jc w:val="both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  <w:lang w:val="it-IT"/>
              </w:rPr>
              <w:t xml:space="preserve">- Thời gian có hiệu lực của bảo đảm dự thầu: </w:t>
            </w:r>
            <w:r>
              <w:rPr>
                <w:rFonts w:ascii="Times New Roman" w:hAnsi="Times New Roman"/>
                <w:i/>
                <w:color w:val="auto"/>
                <w:sz w:val="25"/>
                <w:szCs w:val="25"/>
                <w:lang w:val="it-IT"/>
              </w:rPr>
              <w:t>[Hệ thống trích xuất từ E-TBMT].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983D5D0">
            <w:pPr>
              <w:jc w:val="both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  <w:lang w:val="it-IT"/>
              </w:rPr>
              <w:t xml:space="preserve">- Thời gian có hiệu lực của bảo đảm dự thầu: </w:t>
            </w:r>
            <w:r>
              <w:rPr>
                <w:rFonts w:ascii="Times New Roman" w:hAnsi="Times New Roman" w:eastAsia="Helvetica"/>
                <w:color w:val="auto"/>
                <w:sz w:val="25"/>
                <w:szCs w:val="25"/>
                <w:shd w:val="clear" w:color="auto" w:fill="FFFFFF"/>
              </w:rPr>
              <w:t>Bằng thời gian có hiệu lực của hồ sơ dự thầu cộng thêm 30 ngày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>.</w:t>
            </w:r>
          </w:p>
        </w:tc>
        <w:tc>
          <w:tcPr>
            <w:tcW w:w="2913" w:type="dxa"/>
            <w:vAlign w:val="center"/>
          </w:tcPr>
          <w:p w14:paraId="11AE4E94">
            <w:pPr>
              <w:pStyle w:val="17"/>
              <w:spacing w:before="60" w:after="0"/>
              <w:ind w:right="103"/>
              <w:jc w:val="both"/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Hệ thống không trích xuất hiệu lực của bảo đảm dự thầu. CĐT bổ sung để nhà thầu quan tâm có cơ sở chuẩn bị HSDT</w:t>
            </w:r>
          </w:p>
        </w:tc>
      </w:tr>
      <w:tr w14:paraId="277DD27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741" w:type="dxa"/>
            <w:vAlign w:val="center"/>
          </w:tcPr>
          <w:p w14:paraId="67BE7583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5"/>
                <w:szCs w:val="25"/>
              </w:rPr>
              <w:t>II</w:t>
            </w:r>
          </w:p>
        </w:tc>
        <w:tc>
          <w:tcPr>
            <w:tcW w:w="14464" w:type="dxa"/>
            <w:gridSpan w:val="4"/>
            <w:vAlign w:val="center"/>
          </w:tcPr>
          <w:p w14:paraId="10AF1323">
            <w:pPr>
              <w:pStyle w:val="17"/>
              <w:spacing w:before="60" w:after="0"/>
              <w:ind w:right="103"/>
              <w:jc w:val="both"/>
              <w:rPr>
                <w:b/>
                <w:bCs/>
                <w:color w:val="auto"/>
                <w:sz w:val="25"/>
                <w:szCs w:val="25"/>
              </w:rPr>
            </w:pPr>
            <w:r>
              <w:rPr>
                <w:b/>
                <w:bCs/>
                <w:color w:val="auto"/>
                <w:sz w:val="25"/>
                <w:szCs w:val="25"/>
              </w:rPr>
              <w:t>Chương III: Tiêu chuẩn đánh giá E-HSDT</w:t>
            </w:r>
          </w:p>
        </w:tc>
      </w:tr>
      <w:tr w14:paraId="1ED7CC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41" w:type="dxa"/>
            <w:vAlign w:val="center"/>
          </w:tcPr>
          <w:p w14:paraId="20FF4A1D">
            <w:pPr>
              <w:jc w:val="center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>1</w:t>
            </w:r>
          </w:p>
        </w:tc>
        <w:tc>
          <w:tcPr>
            <w:tcW w:w="2153" w:type="dxa"/>
            <w:vAlign w:val="center"/>
          </w:tcPr>
          <w:p w14:paraId="7CCB072F">
            <w:pPr>
              <w:jc w:val="both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>Bảng 2.1 Tiêu chuẩn đánh giá năng lực kinh nghiệm</w:t>
            </w:r>
          </w:p>
        </w:tc>
        <w:tc>
          <w:tcPr>
            <w:tcW w:w="4236" w:type="dxa"/>
            <w:vAlign w:val="center"/>
          </w:tcPr>
          <w:p w14:paraId="13DF8F50">
            <w:pPr>
              <w:jc w:val="both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>Bảng 01:</w:t>
            </w:r>
          </w:p>
          <w:p w14:paraId="02899FA5">
            <w:pPr>
              <w:jc w:val="both"/>
              <w:rPr>
                <w:rFonts w:ascii="Times New Roman" w:hAnsi="Times New Roman" w:eastAsia="Calibri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 xml:space="preserve">- 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Doanh thu bình quân hằng năm (không bao gồm thuế VAT) của 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>05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  <w:vertAlign w:val="superscript"/>
              </w:rPr>
              <w:t>(6)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năm tài chính gần nhất 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>so với thời điểm đóng thầu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 của nhà thầu có giá trị tối thiểu là </w:t>
            </w:r>
            <w:r>
              <w:rPr>
                <w:rFonts w:ascii="Times New Roman" w:hAnsi="Times New Roman" w:eastAsia="Calibri"/>
                <w:b/>
                <w:bCs/>
                <w:color w:val="auto"/>
                <w:sz w:val="25"/>
                <w:szCs w:val="25"/>
              </w:rPr>
              <w:t xml:space="preserve">74.027.000.000 </w:t>
            </w:r>
            <w:r>
              <w:rPr>
                <w:rFonts w:ascii="Times New Roman" w:hAnsi="Times New Roman" w:eastAsia="Calibri"/>
                <w:b/>
                <w:bCs/>
                <w:color w:val="auto"/>
                <w:sz w:val="25"/>
                <w:szCs w:val="25"/>
                <w:vertAlign w:val="superscript"/>
              </w:rPr>
              <w:t>(7)</w:t>
            </w:r>
            <w:r>
              <w:rPr>
                <w:rFonts w:ascii="Times New Roman" w:hAnsi="Times New Roman" w:eastAsia="Calibri"/>
                <w:b/>
                <w:bCs/>
                <w:color w:val="auto"/>
                <w:sz w:val="25"/>
                <w:szCs w:val="25"/>
              </w:rPr>
              <w:t>VNĐ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>.</w:t>
            </w:r>
          </w:p>
          <w:p w14:paraId="74BE3D87">
            <w:pPr>
              <w:jc w:val="both"/>
              <w:rPr>
                <w:rFonts w:ascii="Times New Roman" w:hAnsi="Times New Roman" w:eastAsia="Calibri"/>
                <w:color w:val="auto"/>
                <w:sz w:val="25"/>
                <w:szCs w:val="25"/>
              </w:rPr>
            </w:pP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- </w:t>
            </w:r>
            <w:r>
              <w:rPr>
                <w:rFonts w:ascii="Times New Roman" w:hAnsi="Times New Roman" w:eastAsia="Calibri"/>
                <w:iCs/>
                <w:color w:val="auto"/>
                <w:sz w:val="25"/>
                <w:szCs w:val="25"/>
              </w:rPr>
              <w:t xml:space="preserve">Kinh nghiệm thực hiện hợp đồng cung cấp hàng hóa tương tự có </w:t>
            </w:r>
            <w:r>
              <w:rPr>
                <w:rFonts w:ascii="Times New Roman" w:hAnsi="Times New Roman"/>
                <w:color w:val="auto"/>
                <w:sz w:val="25"/>
                <w:szCs w:val="25"/>
                <w:lang w:val="es-ES"/>
              </w:rPr>
              <w:t xml:space="preserve">Có quy mô (giá trị) tối thiểu: </w:t>
            </w:r>
            <w:r>
              <w:rPr>
                <w:rFonts w:ascii="Times New Roman" w:hAnsi="Times New Roman"/>
                <w:b/>
                <w:bCs/>
                <w:color w:val="auto"/>
                <w:sz w:val="25"/>
                <w:szCs w:val="25"/>
              </w:rPr>
              <w:t>27.143.000.000</w:t>
            </w:r>
            <w:r>
              <w:rPr>
                <w:rFonts w:ascii="Times New Roman" w:hAnsi="Times New Roman"/>
                <w:b/>
                <w:bCs/>
                <w:color w:val="auto"/>
                <w:sz w:val="25"/>
                <w:szCs w:val="25"/>
                <w:lang w:val="es-ES"/>
              </w:rPr>
              <w:t xml:space="preserve"> VN</w:t>
            </w:r>
            <w:r>
              <w:rPr>
                <w:rFonts w:ascii="Times New Roman" w:hAnsi="Times New Roman"/>
                <w:b/>
                <w:bCs/>
                <w:color w:val="auto"/>
                <w:sz w:val="25"/>
                <w:szCs w:val="25"/>
              </w:rPr>
              <w:t>Đ</w:t>
            </w:r>
          </w:p>
        </w:tc>
        <w:tc>
          <w:tcPr>
            <w:tcW w:w="5162" w:type="dxa"/>
            <w:vAlign w:val="center"/>
          </w:tcPr>
          <w:p w14:paraId="414B53EA">
            <w:pPr>
              <w:jc w:val="both"/>
              <w:rPr>
                <w:rFonts w:ascii="Times New Roman" w:hAnsi="Times New Roman" w:eastAsia="Calibri"/>
                <w:color w:val="auto"/>
                <w:sz w:val="25"/>
                <w:szCs w:val="25"/>
              </w:rPr>
            </w:pPr>
          </w:p>
          <w:p w14:paraId="01DF09C2">
            <w:pPr>
              <w:jc w:val="both"/>
              <w:rPr>
                <w:rFonts w:ascii="Times New Roman" w:hAnsi="Times New Roman" w:eastAsia="Calibri"/>
                <w:color w:val="auto"/>
                <w:sz w:val="25"/>
                <w:szCs w:val="25"/>
              </w:rPr>
            </w:pP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- Doanh thu bình quân hằng năm (không bao gồm thuế VAT) của 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>05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  <w:vertAlign w:val="superscript"/>
              </w:rPr>
              <w:t>(6)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năm tài chính gần nhất 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>so với thời điểm đóng thầu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 của nhà thầu có giá trị tối thiểu là </w:t>
            </w:r>
            <w:r>
              <w:rPr>
                <w:rFonts w:ascii="Times New Roman" w:hAnsi="Times New Roman" w:eastAsia="Calibri"/>
                <w:b/>
                <w:bCs/>
                <w:i/>
                <w:iCs/>
                <w:color w:val="auto"/>
                <w:sz w:val="25"/>
                <w:szCs w:val="25"/>
              </w:rPr>
              <w:t xml:space="preserve">73.400.000.000. </w:t>
            </w:r>
            <w:r>
              <w:rPr>
                <w:rFonts w:ascii="Times New Roman" w:hAnsi="Times New Roman" w:eastAsia="Calibri"/>
                <w:b/>
                <w:bCs/>
                <w:i/>
                <w:iCs/>
                <w:color w:val="auto"/>
                <w:sz w:val="25"/>
                <w:szCs w:val="25"/>
                <w:vertAlign w:val="superscript"/>
              </w:rPr>
              <w:t>(7)</w:t>
            </w:r>
            <w:r>
              <w:rPr>
                <w:rFonts w:ascii="Times New Roman" w:hAnsi="Times New Roman" w:eastAsia="Calibri"/>
                <w:b/>
                <w:bCs/>
                <w:i/>
                <w:iCs/>
                <w:color w:val="auto"/>
                <w:sz w:val="25"/>
                <w:szCs w:val="25"/>
              </w:rPr>
              <w:t>VNĐ.</w:t>
            </w:r>
          </w:p>
          <w:p w14:paraId="64861178">
            <w:pPr>
              <w:jc w:val="both"/>
              <w:rPr>
                <w:rFonts w:ascii="Times New Roman" w:hAnsi="Times New Roman" w:eastAsia="Calibri"/>
                <w:color w:val="auto"/>
                <w:sz w:val="25"/>
                <w:szCs w:val="25"/>
              </w:rPr>
            </w:pPr>
          </w:p>
          <w:p w14:paraId="06591911">
            <w:pPr>
              <w:jc w:val="both"/>
              <w:rPr>
                <w:rFonts w:ascii="Times New Roman" w:hAnsi="Times New Roman" w:eastAsia="Calibri"/>
                <w:color w:val="auto"/>
                <w:sz w:val="25"/>
                <w:szCs w:val="25"/>
              </w:rPr>
            </w:pP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- </w:t>
            </w:r>
            <w:r>
              <w:rPr>
                <w:rFonts w:ascii="Times New Roman" w:hAnsi="Times New Roman" w:eastAsia="Calibri"/>
                <w:iCs/>
                <w:color w:val="auto"/>
                <w:sz w:val="25"/>
                <w:szCs w:val="25"/>
              </w:rPr>
              <w:t xml:space="preserve">Kinh nghiệm thực hiện hợp đồng cung cấp hàng hóa tương tự có </w:t>
            </w:r>
            <w:r>
              <w:rPr>
                <w:rFonts w:ascii="Times New Roman" w:hAnsi="Times New Roman"/>
                <w:color w:val="auto"/>
                <w:sz w:val="25"/>
                <w:szCs w:val="25"/>
                <w:lang w:val="es-ES"/>
              </w:rPr>
              <w:t xml:space="preserve">Có quy mô (giá trị) tối thiểu: </w:t>
            </w:r>
            <w:r>
              <w:rPr>
                <w:rFonts w:ascii="Times New Roman" w:hAnsi="Times New Roman"/>
                <w:b/>
                <w:bCs/>
                <w:i/>
                <w:iCs/>
                <w:color w:val="auto"/>
                <w:sz w:val="25"/>
                <w:szCs w:val="25"/>
              </w:rPr>
              <w:t>26.913.000.000.</w:t>
            </w:r>
            <w:r>
              <w:rPr>
                <w:rFonts w:ascii="Times New Roman" w:hAnsi="Times New Roman"/>
                <w:b/>
                <w:bCs/>
                <w:i/>
                <w:iCs/>
                <w:color w:val="auto"/>
                <w:sz w:val="25"/>
                <w:szCs w:val="25"/>
                <w:lang w:val="es-ES"/>
              </w:rPr>
              <w:t xml:space="preserve"> VN</w:t>
            </w:r>
            <w:r>
              <w:rPr>
                <w:rFonts w:ascii="Times New Roman" w:hAnsi="Times New Roman"/>
                <w:b/>
                <w:bCs/>
                <w:i/>
                <w:iCs/>
                <w:color w:val="auto"/>
                <w:sz w:val="25"/>
                <w:szCs w:val="25"/>
              </w:rPr>
              <w:t>Đ</w:t>
            </w:r>
          </w:p>
        </w:tc>
        <w:tc>
          <w:tcPr>
            <w:tcW w:w="2913" w:type="dxa"/>
            <w:vAlign w:val="center"/>
          </w:tcPr>
          <w:p w14:paraId="23235DF2">
            <w:pPr>
              <w:pStyle w:val="17"/>
              <w:spacing w:before="60" w:after="0"/>
              <w:ind w:right="103"/>
              <w:jc w:val="both"/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Phù hợp với Dự toán gói thầu được phê duyệt tại QĐ số 1369/QĐ-EVNNPT ngày 16/7/2025</w:t>
            </w:r>
          </w:p>
        </w:tc>
      </w:tr>
      <w:tr w14:paraId="21A0C6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41" w:type="dxa"/>
            <w:vAlign w:val="center"/>
          </w:tcPr>
          <w:p w14:paraId="57C5997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153" w:type="dxa"/>
            <w:vAlign w:val="center"/>
          </w:tcPr>
          <w:p w14:paraId="529C3401">
            <w:pPr>
              <w:jc w:val="both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>Bảng 2.2 Tiêu chuẩn đánh giá năng lực kinh nghiệm</w:t>
            </w:r>
          </w:p>
        </w:tc>
        <w:tc>
          <w:tcPr>
            <w:tcW w:w="4236" w:type="dxa"/>
            <w:shd w:val="clear" w:color="auto" w:fill="auto"/>
            <w:vAlign w:val="center"/>
          </w:tcPr>
          <w:p w14:paraId="4D83EDCB">
            <w:pPr>
              <w:jc w:val="both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>Bảng 02:</w:t>
            </w:r>
          </w:p>
          <w:p w14:paraId="59466002">
            <w:pPr>
              <w:jc w:val="both"/>
              <w:rPr>
                <w:rFonts w:ascii="Times New Roman" w:hAnsi="Times New Roman" w:eastAsia="Calibri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 xml:space="preserve">- 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Doanh thu bình quân hằng năm (không bao gồm thuế VAT) của 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>05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  <w:vertAlign w:val="superscript"/>
              </w:rPr>
              <w:t>(6)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năm tài chính gần nhất 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>so với thời điểm đóng thầu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 của nhà thầu có giá trị tối thiểu là </w:t>
            </w:r>
            <w:r>
              <w:rPr>
                <w:rFonts w:ascii="Times New Roman" w:hAnsi="Times New Roman" w:eastAsia="Calibri"/>
                <w:b/>
                <w:bCs/>
                <w:color w:val="auto"/>
                <w:sz w:val="25"/>
                <w:szCs w:val="25"/>
              </w:rPr>
              <w:t xml:space="preserve">74.027.000.000 </w:t>
            </w:r>
            <w:r>
              <w:rPr>
                <w:rFonts w:ascii="Times New Roman" w:hAnsi="Times New Roman" w:eastAsia="Calibri"/>
                <w:b/>
                <w:bCs/>
                <w:color w:val="auto"/>
                <w:sz w:val="25"/>
                <w:szCs w:val="25"/>
                <w:vertAlign w:val="superscript"/>
              </w:rPr>
              <w:t>(7)</w:t>
            </w:r>
            <w:r>
              <w:rPr>
                <w:rFonts w:ascii="Times New Roman" w:hAnsi="Times New Roman" w:eastAsia="Calibri"/>
                <w:b/>
                <w:bCs/>
                <w:color w:val="auto"/>
                <w:sz w:val="25"/>
                <w:szCs w:val="25"/>
              </w:rPr>
              <w:t>VNĐ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>.</w:t>
            </w:r>
          </w:p>
          <w:p w14:paraId="7BDE0FB4">
            <w:pPr>
              <w:widowControl w:val="0"/>
              <w:tabs>
                <w:tab w:val="left" w:leader="dot" w:pos="8424"/>
              </w:tabs>
              <w:autoSpaceDE w:val="0"/>
              <w:autoSpaceDN w:val="0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- 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 xml:space="preserve">Công suất thiết kế của nhà máy, dây chuyền sản xuất đạt tối thiểu: </w:t>
            </w:r>
            <w:r>
              <w:rPr>
                <w:rFonts w:ascii="Times New Roman" w:hAnsi="Times New Roman"/>
                <w:b/>
                <w:bCs/>
                <w:color w:val="auto"/>
                <w:sz w:val="25"/>
                <w:szCs w:val="25"/>
              </w:rPr>
              <w:t>365,54 km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 xml:space="preserve"> sản phẩm – HS </w:t>
            </w:r>
            <w:r>
              <w:rPr>
                <w:rFonts w:ascii="Times New Roman" w:hAnsi="Times New Roman"/>
                <w:iCs/>
                <w:color w:val="auto"/>
                <w:sz w:val="25"/>
                <w:szCs w:val="25"/>
                <w:lang w:val="es-ES"/>
              </w:rPr>
              <w:t>7614</w:t>
            </w:r>
            <w:r>
              <w:rPr>
                <w:rFonts w:ascii="Times New Roman" w:hAnsi="Times New Roman"/>
                <w:color w:val="auto"/>
                <w:spacing w:val="-4"/>
                <w:sz w:val="25"/>
                <w:szCs w:val="25"/>
                <w:lang w:val="es-ES"/>
              </w:rPr>
              <w:t>.xx.xx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>/01 tháng;</w:t>
            </w:r>
          </w:p>
          <w:p w14:paraId="110D6A93">
            <w:pPr>
              <w:widowControl w:val="0"/>
              <w:tabs>
                <w:tab w:val="left" w:leader="dot" w:pos="8424"/>
              </w:tabs>
              <w:autoSpaceDE w:val="0"/>
              <w:autoSpaceDN w:val="0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>Hoặc:</w:t>
            </w:r>
          </w:p>
          <w:p w14:paraId="4ABE3862">
            <w:pPr>
              <w:widowControl w:val="0"/>
              <w:tabs>
                <w:tab w:val="left" w:leader="dot" w:pos="8424"/>
              </w:tabs>
              <w:autoSpaceDE w:val="0"/>
              <w:autoSpaceDN w:val="0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 xml:space="preserve">- Sản lượng sản xuất cao nhất của 01 tháng trong vòng 05 năm gần nhất tính đến thời điểm đóng thầu đạt tối thiểu: </w:t>
            </w:r>
            <w:r>
              <w:rPr>
                <w:rFonts w:ascii="Times New Roman" w:hAnsi="Times New Roman"/>
                <w:b/>
                <w:bCs/>
                <w:color w:val="auto"/>
                <w:sz w:val="25"/>
                <w:szCs w:val="25"/>
              </w:rPr>
              <w:t>365,54 km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 xml:space="preserve"> sản phẩm – HS </w:t>
            </w:r>
            <w:r>
              <w:rPr>
                <w:rFonts w:ascii="Times New Roman" w:hAnsi="Times New Roman"/>
                <w:iCs/>
                <w:color w:val="auto"/>
                <w:sz w:val="25"/>
                <w:szCs w:val="25"/>
                <w:lang w:val="es-ES"/>
              </w:rPr>
              <w:t>7614</w:t>
            </w:r>
            <w:r>
              <w:rPr>
                <w:rFonts w:ascii="Times New Roman" w:hAnsi="Times New Roman"/>
                <w:color w:val="auto"/>
                <w:spacing w:val="-4"/>
                <w:sz w:val="25"/>
                <w:szCs w:val="25"/>
                <w:lang w:val="es-ES"/>
              </w:rPr>
              <w:t>.xx.xx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>/01 tháng</w:t>
            </w:r>
          </w:p>
          <w:p w14:paraId="7E85DD2B">
            <w:pPr>
              <w:jc w:val="both"/>
              <w:rPr>
                <w:rFonts w:ascii="Times New Roman" w:hAnsi="Times New Roman" w:eastAsia="Calibri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  <w:lang w:val="es-ES"/>
              </w:rPr>
              <w:t>Trường hợp gói thầu có nhiều loại hàng hóa khác nhau thì việc đưa ra yêu cầu về năng lực sản xuất được thực hiện theo Bảng Y.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082A517">
            <w:pPr>
              <w:jc w:val="both"/>
              <w:rPr>
                <w:rFonts w:ascii="Times New Roman" w:hAnsi="Times New Roman" w:eastAsia="Calibri"/>
                <w:color w:val="auto"/>
                <w:sz w:val="25"/>
                <w:szCs w:val="25"/>
              </w:rPr>
            </w:pPr>
          </w:p>
          <w:p w14:paraId="5F0467E7">
            <w:pPr>
              <w:jc w:val="both"/>
              <w:rPr>
                <w:rFonts w:ascii="Times New Roman" w:hAnsi="Times New Roman" w:eastAsia="Calibri"/>
                <w:color w:val="auto"/>
                <w:sz w:val="25"/>
                <w:szCs w:val="25"/>
              </w:rPr>
            </w:pP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- Doanh thu bình quân hằng năm (không bao gồm thuế VAT) của 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>05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  <w:vertAlign w:val="superscript"/>
              </w:rPr>
              <w:t>(6)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năm tài chính gần nhất 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>so với thời điểm đóng thầu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 của nhà thầu có giá trị tối thiểu là </w:t>
            </w:r>
            <w:r>
              <w:rPr>
                <w:rFonts w:ascii="Times New Roman" w:hAnsi="Times New Roman" w:eastAsia="Calibri"/>
                <w:b/>
                <w:bCs/>
                <w:i/>
                <w:iCs/>
                <w:color w:val="auto"/>
                <w:sz w:val="25"/>
                <w:szCs w:val="25"/>
              </w:rPr>
              <w:t xml:space="preserve">73.400.000.000. </w:t>
            </w:r>
            <w:r>
              <w:rPr>
                <w:rFonts w:ascii="Times New Roman" w:hAnsi="Times New Roman" w:eastAsia="Calibri"/>
                <w:b/>
                <w:bCs/>
                <w:i/>
                <w:iCs/>
                <w:color w:val="auto"/>
                <w:sz w:val="25"/>
                <w:szCs w:val="25"/>
                <w:vertAlign w:val="superscript"/>
              </w:rPr>
              <w:t>(7)</w:t>
            </w:r>
            <w:r>
              <w:rPr>
                <w:rFonts w:ascii="Times New Roman" w:hAnsi="Times New Roman" w:eastAsia="Calibri"/>
                <w:b/>
                <w:bCs/>
                <w:i/>
                <w:iCs/>
                <w:color w:val="auto"/>
                <w:sz w:val="25"/>
                <w:szCs w:val="25"/>
              </w:rPr>
              <w:t>VNĐ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>.</w:t>
            </w:r>
          </w:p>
          <w:p w14:paraId="4712EF32">
            <w:pPr>
              <w:jc w:val="both"/>
              <w:rPr>
                <w:rFonts w:ascii="Times New Roman" w:hAnsi="Times New Roman" w:eastAsia="Calibri"/>
                <w:color w:val="auto"/>
                <w:sz w:val="25"/>
                <w:szCs w:val="25"/>
              </w:rPr>
            </w:pPr>
          </w:p>
          <w:p w14:paraId="3C6F28AE">
            <w:pPr>
              <w:widowControl w:val="0"/>
              <w:tabs>
                <w:tab w:val="left" w:leader="dot" w:pos="8424"/>
              </w:tabs>
              <w:autoSpaceDE w:val="0"/>
              <w:autoSpaceDN w:val="0"/>
              <w:rPr>
                <w:rFonts w:ascii="Times New Roman" w:hAnsi="Times New Roman" w:eastAsia="Calibri"/>
                <w:color w:val="auto"/>
                <w:sz w:val="25"/>
                <w:szCs w:val="25"/>
              </w:rPr>
            </w:pPr>
          </w:p>
          <w:p w14:paraId="0F787B0C">
            <w:pPr>
              <w:widowControl w:val="0"/>
              <w:tabs>
                <w:tab w:val="left" w:leader="dot" w:pos="8424"/>
              </w:tabs>
              <w:autoSpaceDE w:val="0"/>
              <w:autoSpaceDN w:val="0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- 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 xml:space="preserve">Công suất thiết kế của nhà máy, dây chuyền sản xuất đạt tối thiểu: </w:t>
            </w:r>
            <w:r>
              <w:rPr>
                <w:rFonts w:ascii="Times New Roman" w:hAnsi="Times New Roman"/>
                <w:b/>
                <w:bCs/>
                <w:i/>
                <w:iCs/>
                <w:color w:val="auto"/>
                <w:sz w:val="25"/>
                <w:szCs w:val="25"/>
              </w:rPr>
              <w:t>363 km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 xml:space="preserve"> sản 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 xml:space="preserve">phẩm – HS </w:t>
            </w:r>
            <w:r>
              <w:rPr>
                <w:rFonts w:ascii="Times New Roman" w:hAnsi="Times New Roman"/>
                <w:iCs/>
                <w:color w:val="auto"/>
                <w:sz w:val="25"/>
                <w:szCs w:val="25"/>
                <w:lang w:val="es-ES"/>
              </w:rPr>
              <w:t>7614</w:t>
            </w:r>
            <w:r>
              <w:rPr>
                <w:rFonts w:ascii="Times New Roman" w:hAnsi="Times New Roman"/>
                <w:color w:val="auto"/>
                <w:spacing w:val="-4"/>
                <w:sz w:val="25"/>
                <w:szCs w:val="25"/>
                <w:lang w:val="es-ES"/>
              </w:rPr>
              <w:t>.xx.xx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>/01 tháng;</w:t>
            </w:r>
          </w:p>
          <w:p w14:paraId="1C153B0D">
            <w:pPr>
              <w:widowControl w:val="0"/>
              <w:tabs>
                <w:tab w:val="left" w:leader="dot" w:pos="8424"/>
              </w:tabs>
              <w:autoSpaceDE w:val="0"/>
              <w:autoSpaceDN w:val="0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>Hoặc:</w:t>
            </w:r>
          </w:p>
          <w:p w14:paraId="75872455">
            <w:pPr>
              <w:widowControl w:val="0"/>
              <w:tabs>
                <w:tab w:val="left" w:leader="dot" w:pos="8424"/>
              </w:tabs>
              <w:autoSpaceDE w:val="0"/>
              <w:autoSpaceDN w:val="0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 xml:space="preserve">- Sản lượng sản xuất cao nhất của 01 tháng trong vòng 05 năm gần nhất tính đến thời điểm đóng thầu đạt tối thiểu: </w:t>
            </w:r>
            <w:r>
              <w:rPr>
                <w:rFonts w:ascii="Times New Roman" w:hAnsi="Times New Roman"/>
                <w:b/>
                <w:bCs/>
                <w:i/>
                <w:iCs/>
                <w:color w:val="auto"/>
                <w:sz w:val="25"/>
                <w:szCs w:val="25"/>
              </w:rPr>
              <w:t xml:space="preserve">363 </w:t>
            </w:r>
            <w:r>
              <w:rPr>
                <w:rFonts w:ascii="Times New Roman" w:hAnsi="Times New Roman"/>
                <w:b/>
                <w:bCs/>
                <w:i/>
                <w:iCs/>
                <w:color w:val="auto"/>
                <w:sz w:val="25"/>
                <w:szCs w:val="25"/>
              </w:rPr>
              <w:t>km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 xml:space="preserve"> sản phẩm – HS </w:t>
            </w:r>
            <w:r>
              <w:rPr>
                <w:rFonts w:ascii="Times New Roman" w:hAnsi="Times New Roman"/>
                <w:iCs/>
                <w:color w:val="auto"/>
                <w:sz w:val="25"/>
                <w:szCs w:val="25"/>
                <w:lang w:val="es-ES"/>
              </w:rPr>
              <w:t>7614</w:t>
            </w:r>
            <w:r>
              <w:rPr>
                <w:rFonts w:ascii="Times New Roman" w:hAnsi="Times New Roman"/>
                <w:color w:val="auto"/>
                <w:spacing w:val="-4"/>
                <w:sz w:val="25"/>
                <w:szCs w:val="25"/>
                <w:lang w:val="es-ES"/>
              </w:rPr>
              <w:t>.xx.xx</w:t>
            </w:r>
            <w:r>
              <w:rPr>
                <w:rFonts w:ascii="Times New Roman" w:hAnsi="Times New Roman"/>
                <w:color w:val="auto"/>
                <w:sz w:val="25"/>
                <w:szCs w:val="25"/>
              </w:rPr>
              <w:t>/01 tháng</w:t>
            </w:r>
          </w:p>
          <w:p w14:paraId="5C89BD13">
            <w:pPr>
              <w:jc w:val="both"/>
              <w:rPr>
                <w:rFonts w:ascii="Times New Roman" w:hAnsi="Times New Roman" w:eastAsia="Calibri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  <w:lang w:val="es-ES"/>
              </w:rPr>
              <w:t>Trường hợp gói thầu có nhiều loại hàng hóa khác nhau thì việc đưa ra yêu cầu về năng lực sản xuất được thực hiện theo Bảng Y.</w:t>
            </w:r>
          </w:p>
        </w:tc>
        <w:tc>
          <w:tcPr>
            <w:tcW w:w="2913" w:type="dxa"/>
            <w:vAlign w:val="center"/>
          </w:tcPr>
          <w:p w14:paraId="2B2766D5">
            <w:pPr>
              <w:pStyle w:val="17"/>
              <w:spacing w:before="60" w:after="0"/>
              <w:ind w:right="103"/>
              <w:jc w:val="both"/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Phù hợp với Dự toán gói thầu được phê duyệt tại QĐ số 1369/QĐ-EVNNPT ngày 16/7/2025; tính toán với chỉ số k = 1 (yêu cầu số lượng lớn)</w:t>
            </w:r>
          </w:p>
        </w:tc>
      </w:tr>
      <w:tr w14:paraId="01FBAB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41" w:type="dxa"/>
            <w:vAlign w:val="center"/>
          </w:tcPr>
          <w:p w14:paraId="53522916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III</w:t>
            </w:r>
          </w:p>
        </w:tc>
        <w:tc>
          <w:tcPr>
            <w:tcW w:w="14464" w:type="dxa"/>
            <w:gridSpan w:val="4"/>
            <w:vAlign w:val="center"/>
          </w:tcPr>
          <w:p w14:paraId="11FF1600">
            <w:pPr>
              <w:pStyle w:val="17"/>
              <w:spacing w:before="60" w:after="0"/>
              <w:ind w:right="103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Chương IV: Biểu mẫu mời thầu</w:t>
            </w:r>
          </w:p>
        </w:tc>
      </w:tr>
      <w:tr w14:paraId="09D2BFB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41" w:type="dxa"/>
            <w:vAlign w:val="center"/>
          </w:tcPr>
          <w:p w14:paraId="2EF9F0D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153" w:type="dxa"/>
            <w:vAlign w:val="center"/>
          </w:tcPr>
          <w:p w14:paraId="459887FA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Mẫu 01A – Phạm vi cung cấp</w:t>
            </w:r>
          </w:p>
        </w:tc>
        <w:tc>
          <w:tcPr>
            <w:tcW w:w="4236" w:type="dxa"/>
            <w:vAlign w:val="center"/>
          </w:tcPr>
          <w:p w14:paraId="07A54A9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auto"/>
                <w:sz w:val="25"/>
                <w:szCs w:val="25"/>
                <w:lang w:val="es-ES"/>
              </w:rPr>
              <w:t xml:space="preserve">. 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Dây dẫn ACSR - 400/51: 359,226 km</w:t>
            </w:r>
          </w:p>
          <w:p w14:paraId="0B64D0A8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2. Dây dẫn  AACSR 400/91: 31,270 km</w:t>
            </w:r>
          </w:p>
          <w:p w14:paraId="44EEAE6D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3. Dây chống sét PHLOX 116.2: 26,864 km</w:t>
            </w:r>
          </w:p>
          <w:p w14:paraId="6B2AD18D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4.  Dây chống sét Phlox-147,1: 5,561 km</w:t>
            </w:r>
          </w:p>
        </w:tc>
        <w:tc>
          <w:tcPr>
            <w:tcW w:w="5162" w:type="dxa"/>
            <w:vAlign w:val="center"/>
          </w:tcPr>
          <w:p w14:paraId="09AFC408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auto"/>
                <w:sz w:val="25"/>
                <w:szCs w:val="25"/>
                <w:lang w:val="es-ES"/>
              </w:rPr>
              <w:t xml:space="preserve">. 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s-ES"/>
              </w:rPr>
              <w:t>Dây dẫn ACSR - 400/51: 347,518 km</w:t>
            </w:r>
          </w:p>
          <w:p w14:paraId="37000EEB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s-ES"/>
              </w:rPr>
              <w:t>2. Dây dẫn  AACSR 400/91: 43,235 km</w:t>
            </w:r>
          </w:p>
          <w:p w14:paraId="18492710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s-ES"/>
              </w:rPr>
              <w:t>3. Dây chống sét PHLOX 116.2: 28,652 km</w:t>
            </w:r>
          </w:p>
          <w:p w14:paraId="34579FBF">
            <w:pPr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4.  Dây chống sét Phlox-147,1: 3,773 km</w:t>
            </w:r>
          </w:p>
        </w:tc>
        <w:tc>
          <w:tcPr>
            <w:tcW w:w="2913" w:type="dxa"/>
            <w:vAlign w:val="center"/>
          </w:tcPr>
          <w:p w14:paraId="2098326A">
            <w:pPr>
              <w:pStyle w:val="17"/>
              <w:spacing w:before="60" w:after="0"/>
              <w:ind w:right="103"/>
              <w:jc w:val="both"/>
              <w:rPr>
                <w:color w:val="auto"/>
                <w:highlight w:val="yellow"/>
              </w:rPr>
            </w:pPr>
            <w:r>
              <w:rPr>
                <w:color w:val="auto"/>
              </w:rPr>
              <w:t>Phù hợp với hồ sơ thiết kế triển khai sau thiết kế cơ sở được phê duyệt</w:t>
            </w:r>
          </w:p>
        </w:tc>
      </w:tr>
      <w:tr w14:paraId="65DDB4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0" w:hRule="atLeast"/>
        </w:trPr>
        <w:tc>
          <w:tcPr>
            <w:tcW w:w="741" w:type="dxa"/>
            <w:vAlign w:val="center"/>
          </w:tcPr>
          <w:p w14:paraId="751078BC">
            <w:pPr>
              <w:jc w:val="center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>2</w:t>
            </w:r>
          </w:p>
        </w:tc>
        <w:tc>
          <w:tcPr>
            <w:tcW w:w="2153" w:type="dxa"/>
            <w:vAlign w:val="center"/>
          </w:tcPr>
          <w:p w14:paraId="13F4AE2C">
            <w:pPr>
              <w:jc w:val="both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>Mẫu số 08 (webform trên Hệ thống)</w:t>
            </w:r>
          </w:p>
          <w:p w14:paraId="2CCA9ACA">
            <w:pPr>
              <w:jc w:val="both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>TÌNH HÌNH TÀI CHÍNH CỦA NHÀ THẦU</w:t>
            </w:r>
            <w:r>
              <w:rPr>
                <w:rFonts w:ascii="Times New Roman" w:hAnsi="Times New Roman"/>
                <w:color w:val="auto"/>
                <w:sz w:val="25"/>
                <w:szCs w:val="25"/>
                <w:vertAlign w:val="superscript"/>
              </w:rPr>
              <w:t>(1)</w:t>
            </w:r>
          </w:p>
        </w:tc>
        <w:tc>
          <w:tcPr>
            <w:tcW w:w="4236" w:type="dxa"/>
            <w:vAlign w:val="center"/>
          </w:tcPr>
          <w:p w14:paraId="73A0F1D3">
            <w:pPr>
              <w:jc w:val="both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Số liệu tài chính trong các năm gần nhất theo yêu cầu của E-HSMT </w:t>
            </w:r>
            <w:r>
              <w:rPr>
                <w:rFonts w:ascii="Times New Roman" w:hAnsi="Times New Roman" w:eastAsia="Calibri"/>
                <w:i/>
                <w:iCs/>
                <w:color w:val="auto"/>
                <w:sz w:val="25"/>
                <w:szCs w:val="25"/>
              </w:rPr>
              <w:t>(Hệ thống tự động trích xuất trên cơ sở năm tài chính của nhà thầu )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06A1F92">
            <w:pPr>
              <w:jc w:val="both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>Số liệu tài chính trong các năm gần nhất theo yêu cầu của E-HSMT (</w:t>
            </w:r>
            <w:r>
              <w:rPr>
                <w:rFonts w:ascii="Times New Roman" w:hAnsi="Times New Roman" w:eastAsia="Calibri"/>
                <w:i/>
                <w:iCs/>
                <w:color w:val="auto"/>
                <w:sz w:val="25"/>
                <w:szCs w:val="25"/>
              </w:rPr>
              <w:t>2020</w:t>
            </w: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, </w:t>
            </w:r>
            <w:r>
              <w:rPr>
                <w:rFonts w:ascii="Times New Roman" w:hAnsi="Times New Roman" w:eastAsia="Calibri"/>
                <w:i/>
                <w:iCs/>
                <w:color w:val="auto"/>
                <w:sz w:val="25"/>
                <w:szCs w:val="25"/>
              </w:rPr>
              <w:t>2021, 2022, 2023, 2024).</w:t>
            </w:r>
          </w:p>
        </w:tc>
        <w:tc>
          <w:tcPr>
            <w:tcW w:w="2913" w:type="dxa"/>
            <w:vMerge w:val="restart"/>
            <w:shd w:val="clear" w:color="auto" w:fill="auto"/>
            <w:vAlign w:val="center"/>
          </w:tcPr>
          <w:p w14:paraId="0249D785">
            <w:pPr>
              <w:pStyle w:val="17"/>
              <w:spacing w:before="60" w:after="0"/>
              <w:ind w:right="103"/>
              <w:jc w:val="both"/>
              <w:rPr>
                <w:color w:val="auto"/>
                <w:sz w:val="25"/>
                <w:szCs w:val="25"/>
              </w:rPr>
            </w:pPr>
            <w:r>
              <w:rPr>
                <w:color w:val="auto"/>
                <w:sz w:val="25"/>
                <w:szCs w:val="25"/>
              </w:rPr>
              <w:t>Hệ thống không trích xuất hiệu lực của bảo đảm dự thầu. CĐT bổ sung để nhà thầu quan tâm có cơ sở chuẩn bị HSDT</w:t>
            </w:r>
          </w:p>
        </w:tc>
      </w:tr>
      <w:tr w14:paraId="333FDAC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0" w:hRule="atLeast"/>
        </w:trPr>
        <w:tc>
          <w:tcPr>
            <w:tcW w:w="741" w:type="dxa"/>
            <w:vAlign w:val="center"/>
          </w:tcPr>
          <w:p w14:paraId="05674304">
            <w:pPr>
              <w:jc w:val="center"/>
              <w:rPr>
                <w:rFonts w:ascii="Times New Roman" w:hAnsi="Times New Roman"/>
                <w:color w:val="auto"/>
                <w:sz w:val="25"/>
                <w:szCs w:val="25"/>
              </w:rPr>
            </w:pPr>
          </w:p>
        </w:tc>
        <w:tc>
          <w:tcPr>
            <w:tcW w:w="2153" w:type="dxa"/>
            <w:shd w:val="clear" w:color="auto" w:fill="auto"/>
            <w:vAlign w:val="center"/>
          </w:tcPr>
          <w:p w14:paraId="6582B65C">
            <w:pPr>
              <w:jc w:val="both"/>
              <w:rPr>
                <w:rFonts w:ascii="Times New Roman" w:hAnsi="Times New Roman"/>
                <w:color w:val="auto"/>
                <w:sz w:val="25"/>
                <w:szCs w:val="25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>Mẫu số 10A (webform trên Hệ thống) BẢNG TIẾN ĐỘ CUNG CẤP</w:t>
            </w:r>
            <w:r>
              <w:rPr>
                <w:rFonts w:ascii="Times New Roman" w:hAnsi="Times New Roman"/>
                <w:color w:val="auto"/>
                <w:sz w:val="25"/>
                <w:szCs w:val="25"/>
                <w:vertAlign w:val="superscript"/>
              </w:rPr>
              <w:t>(*)</w:t>
            </w:r>
          </w:p>
        </w:tc>
        <w:tc>
          <w:tcPr>
            <w:tcW w:w="4236" w:type="dxa"/>
            <w:vAlign w:val="center"/>
          </w:tcPr>
          <w:p w14:paraId="629AD351">
            <w:pPr>
              <w:jc w:val="both"/>
              <w:rPr>
                <w:rFonts w:ascii="Times New Roman" w:hAnsi="Times New Roman" w:eastAsia="Calibri"/>
                <w:color w:val="auto"/>
                <w:sz w:val="25"/>
                <w:szCs w:val="25"/>
              </w:rPr>
            </w:pPr>
            <w:r>
              <w:rPr>
                <w:rFonts w:ascii="Times New Roman" w:hAnsi="Times New Roman" w:eastAsia="Calibri"/>
                <w:color w:val="auto"/>
                <w:sz w:val="25"/>
                <w:szCs w:val="25"/>
              </w:rPr>
              <w:t xml:space="preserve">Số liệu tài chính trong các năm gần nhất theo yêu cầu của E-HSMT </w:t>
            </w:r>
            <w:r>
              <w:rPr>
                <w:rFonts w:ascii="Times New Roman" w:hAnsi="Times New Roman" w:eastAsia="Calibri"/>
                <w:i/>
                <w:iCs/>
                <w:color w:val="auto"/>
                <w:sz w:val="25"/>
                <w:szCs w:val="25"/>
              </w:rPr>
              <w:t>(Hệ thống tự động trích xuất trên cơ sở năm tài chính của nhà thầu )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8A9B9D8">
            <w:pPr>
              <w:widowControl w:val="0"/>
              <w:tabs>
                <w:tab w:val="right" w:pos="7272"/>
              </w:tabs>
              <w:spacing w:before="80" w:after="8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Được cập nhật trong E-HSMT hiệu chỉnh</w:t>
            </w:r>
          </w:p>
        </w:tc>
        <w:tc>
          <w:tcPr>
            <w:tcW w:w="2913" w:type="dxa"/>
            <w:vMerge w:val="continue"/>
            <w:shd w:val="clear" w:color="auto" w:fill="auto"/>
            <w:vAlign w:val="center"/>
          </w:tcPr>
          <w:p w14:paraId="524B7121">
            <w:pPr>
              <w:widowControl w:val="0"/>
              <w:tabs>
                <w:tab w:val="right" w:pos="7272"/>
              </w:tabs>
              <w:spacing w:before="80" w:after="8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14:paraId="237AF8F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0" w:hRule="atLeast"/>
        </w:trPr>
        <w:tc>
          <w:tcPr>
            <w:tcW w:w="741" w:type="dxa"/>
            <w:vAlign w:val="center"/>
          </w:tcPr>
          <w:p w14:paraId="33B8CB53">
            <w:pPr>
              <w:jc w:val="center"/>
              <w:rPr>
                <w:rFonts w:ascii="Times New Roman" w:hAnsi="Times New Roman"/>
                <w:color w:val="auto"/>
                <w:sz w:val="25"/>
                <w:szCs w:val="25"/>
              </w:rPr>
            </w:pPr>
          </w:p>
        </w:tc>
        <w:tc>
          <w:tcPr>
            <w:tcW w:w="2153" w:type="dxa"/>
            <w:shd w:val="clear" w:color="auto" w:fill="auto"/>
            <w:vAlign w:val="center"/>
          </w:tcPr>
          <w:p w14:paraId="535D107C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Các biểu mẫu tiếp theo liên quan đến bảng giá dự thầu, bảng giá vật tư, chi phí sản xuất trong nước, …</w:t>
            </w:r>
          </w:p>
        </w:tc>
        <w:tc>
          <w:tcPr>
            <w:tcW w:w="4236" w:type="dxa"/>
            <w:vAlign w:val="center"/>
          </w:tcPr>
          <w:p w14:paraId="344E3D04">
            <w:pPr>
              <w:jc w:val="both"/>
              <w:rPr>
                <w:rFonts w:ascii="Times New Roman" w:hAnsi="Times New Roman" w:eastAsia="Calibri"/>
                <w:color w:val="auto"/>
                <w:sz w:val="25"/>
                <w:szCs w:val="25"/>
              </w:rPr>
            </w:pPr>
          </w:p>
        </w:tc>
        <w:tc>
          <w:tcPr>
            <w:tcW w:w="5162" w:type="dxa"/>
            <w:shd w:val="clear" w:color="auto" w:fill="auto"/>
            <w:vAlign w:val="center"/>
          </w:tcPr>
          <w:p w14:paraId="38877F5F">
            <w:pPr>
              <w:widowControl w:val="0"/>
              <w:tabs>
                <w:tab w:val="right" w:pos="7272"/>
              </w:tabs>
              <w:spacing w:before="80" w:after="8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Nhà thầu kê khai, điền thông tin trên cơ sở biểu mẫu 10A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412E2CD7">
            <w:pPr>
              <w:widowControl w:val="0"/>
              <w:tabs>
                <w:tab w:val="right" w:pos="7272"/>
              </w:tabs>
              <w:spacing w:before="80" w:after="8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5"/>
                <w:szCs w:val="25"/>
              </w:rPr>
              <w:t>Hệ thống không trích xuất hiệu lực của bảo đảm dự thầu. CĐT bổ sung để nhà thầu quan tâm có cơ sở chuẩn bị HSDT</w:t>
            </w:r>
          </w:p>
        </w:tc>
      </w:tr>
      <w:tr w14:paraId="6577D8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41" w:type="dxa"/>
            <w:vAlign w:val="center"/>
          </w:tcPr>
          <w:p w14:paraId="3FADF2CC">
            <w:pPr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IV</w:t>
            </w:r>
          </w:p>
        </w:tc>
        <w:tc>
          <w:tcPr>
            <w:tcW w:w="14464" w:type="dxa"/>
            <w:gridSpan w:val="4"/>
            <w:vAlign w:val="center"/>
          </w:tcPr>
          <w:p w14:paraId="0F485880">
            <w:pPr>
              <w:pStyle w:val="17"/>
              <w:spacing w:before="60" w:after="0"/>
              <w:ind w:right="103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Chương V: Phạm vi cung cấp và yêu cầu kỹ thuật</w:t>
            </w:r>
          </w:p>
        </w:tc>
      </w:tr>
      <w:tr w14:paraId="1D5ABC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41" w:type="dxa"/>
            <w:vAlign w:val="center"/>
          </w:tcPr>
          <w:p w14:paraId="41BB7FF3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2153" w:type="dxa"/>
            <w:vAlign w:val="center"/>
          </w:tcPr>
          <w:p w14:paraId="5128683D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Phạm vi cung cấp (trang 1)</w:t>
            </w:r>
          </w:p>
        </w:tc>
        <w:tc>
          <w:tcPr>
            <w:tcW w:w="4236" w:type="dxa"/>
            <w:vAlign w:val="center"/>
          </w:tcPr>
          <w:p w14:paraId="529A8856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auto"/>
                <w:sz w:val="25"/>
                <w:szCs w:val="25"/>
                <w:lang w:val="es-ES"/>
              </w:rPr>
              <w:t xml:space="preserve">. 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Dây dẫn ACSR - 400/51: 359,226 km</w:t>
            </w:r>
          </w:p>
          <w:p w14:paraId="0D6D2157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2. Dây dẫn  AACSR 400/91: 31,270 km</w:t>
            </w:r>
          </w:p>
          <w:p w14:paraId="2EA4AEC5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3. Dây chống sét PHLOX 116.2: 26,864 km</w:t>
            </w:r>
          </w:p>
          <w:p w14:paraId="5E30DDC9">
            <w:pPr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4.  Dây chống sét Phlox-147,1: 5,561 km</w:t>
            </w:r>
          </w:p>
        </w:tc>
        <w:tc>
          <w:tcPr>
            <w:tcW w:w="5162" w:type="dxa"/>
            <w:vAlign w:val="center"/>
          </w:tcPr>
          <w:p w14:paraId="5A10F78B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auto"/>
                <w:sz w:val="25"/>
                <w:szCs w:val="25"/>
                <w:lang w:val="es-ES"/>
              </w:rPr>
              <w:t xml:space="preserve">. 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es-ES"/>
              </w:rPr>
              <w:t>Dây dẫn ACSR - 400/51: 347,518 km</w:t>
            </w:r>
          </w:p>
          <w:p w14:paraId="57F563DD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s-ES"/>
              </w:rPr>
              <w:t>2. Dây dẫn  AACSR 400/91: 43,235 km</w:t>
            </w:r>
          </w:p>
          <w:p w14:paraId="7C05035A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s-ES"/>
              </w:rPr>
              <w:t>3. Dây chống sét PHLOX 116.2: 28,652 km</w:t>
            </w:r>
          </w:p>
          <w:p w14:paraId="49FA2EBA">
            <w:pPr>
              <w:jc w:val="both"/>
              <w:rPr>
                <w:rFonts w:ascii="Times New Roman" w:hAnsi="Times New Roman"/>
                <w:i/>
                <w:iCs/>
                <w:color w:val="auto"/>
                <w:sz w:val="24"/>
                <w:szCs w:val="24"/>
                <w:highlight w:val="yellow"/>
                <w:lang w:val="es-E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es-ES"/>
              </w:rPr>
              <w:t>4.  Dây chống sét Phlox-147,1: 3,773 km</w:t>
            </w:r>
          </w:p>
        </w:tc>
        <w:tc>
          <w:tcPr>
            <w:tcW w:w="2913" w:type="dxa"/>
            <w:vAlign w:val="center"/>
          </w:tcPr>
          <w:p w14:paraId="1DDF5F61">
            <w:pPr>
              <w:pStyle w:val="17"/>
              <w:spacing w:before="60" w:after="0"/>
              <w:ind w:right="103"/>
              <w:jc w:val="both"/>
              <w:rPr>
                <w:color w:val="auto"/>
                <w:highlight w:val="yellow"/>
                <w:lang w:val="es-ES"/>
              </w:rPr>
            </w:pPr>
            <w:r>
              <w:rPr>
                <w:color w:val="auto"/>
                <w:lang w:val="es-ES"/>
              </w:rPr>
              <w:t>Phù hợp với hồ sơ thiết kế triển khai sau thiết kế cơ sở được phê duyệt</w:t>
            </w:r>
          </w:p>
        </w:tc>
      </w:tr>
      <w:tr w14:paraId="34416D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41" w:type="dxa"/>
            <w:vAlign w:val="center"/>
          </w:tcPr>
          <w:p w14:paraId="270B1C7C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2153" w:type="dxa"/>
            <w:vAlign w:val="center"/>
          </w:tcPr>
          <w:p w14:paraId="70507904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Yêu cầu kỹ thuật và bảng điền cam kết kỹ thuật</w:t>
            </w:r>
          </w:p>
        </w:tc>
        <w:tc>
          <w:tcPr>
            <w:tcW w:w="4236" w:type="dxa"/>
            <w:vAlign w:val="center"/>
          </w:tcPr>
          <w:p w14:paraId="5181C9AC">
            <w:pPr>
              <w:jc w:val="both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Theo HSMT đính kèm trên hệ thống mạng đấu thầu Quốc gia ngày 05/07/2025</w:t>
            </w:r>
          </w:p>
        </w:tc>
        <w:tc>
          <w:tcPr>
            <w:tcW w:w="5162" w:type="dxa"/>
            <w:vAlign w:val="center"/>
          </w:tcPr>
          <w:p w14:paraId="250E8BEE">
            <w:pPr>
              <w:jc w:val="both"/>
              <w:rPr>
                <w:rFonts w:ascii="Calibri" w:hAnsi="Calibri" w:cs="Calibri"/>
                <w:color w:val="auto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Hiệu chỉnh, sửa đổi yêu cầu kỹ thuật và bảng điền cam kết kỹ thuật phù hợp với thiết kế được phê duyệt</w:t>
            </w:r>
          </w:p>
        </w:tc>
        <w:tc>
          <w:tcPr>
            <w:tcW w:w="2913" w:type="dxa"/>
            <w:vAlign w:val="center"/>
          </w:tcPr>
          <w:p w14:paraId="3A1AE149">
            <w:pPr>
              <w:pStyle w:val="17"/>
              <w:spacing w:before="60" w:after="0"/>
              <w:ind w:right="103"/>
              <w:jc w:val="both"/>
              <w:rPr>
                <w:color w:val="auto"/>
                <w:highlight w:val="yellow"/>
              </w:rPr>
            </w:pPr>
            <w:r>
              <w:rPr>
                <w:color w:val="auto"/>
                <w:lang w:val="es-ES"/>
              </w:rPr>
              <w:t>Phù hợp với hồ sơ thiết kế triển khai sau thiết kế cơ sở được phê duyệt</w:t>
            </w:r>
          </w:p>
        </w:tc>
      </w:tr>
    </w:tbl>
    <w:p w14:paraId="42870970">
      <w:pPr>
        <w:rPr>
          <w:color w:val="auto"/>
        </w:rPr>
      </w:pPr>
    </w:p>
    <w:p w14:paraId="5181E3A1">
      <w:pPr>
        <w:rPr>
          <w:color w:val="auto"/>
        </w:rPr>
      </w:pPr>
    </w:p>
    <w:p w14:paraId="7F067E70">
      <w:pPr>
        <w:rPr>
          <w:color w:val="auto"/>
        </w:rPr>
      </w:pPr>
    </w:p>
    <w:p w14:paraId="372D7E8E">
      <w:pPr>
        <w:jc w:val="both"/>
        <w:rPr>
          <w:color w:val="auto"/>
        </w:rPr>
      </w:pPr>
    </w:p>
    <w:p w14:paraId="675CEEC4">
      <w:pPr>
        <w:jc w:val="both"/>
        <w:rPr>
          <w:color w:val="auto"/>
        </w:rPr>
      </w:pPr>
    </w:p>
    <w:p w14:paraId="7340C598">
      <w:pPr>
        <w:jc w:val="both"/>
        <w:rPr>
          <w:color w:val="auto"/>
        </w:rPr>
      </w:pPr>
      <w:r>
        <w:rPr>
          <w:color w:val="auto"/>
        </w:rPr>
        <w:br w:type="textWrapping" w:clear="all"/>
      </w:r>
    </w:p>
    <w:sectPr>
      <w:headerReference r:id="rId3" w:type="default"/>
      <w:pgSz w:w="16840" w:h="11907" w:orient="landscape"/>
      <w:pgMar w:top="851" w:right="907" w:bottom="794" w:left="907" w:header="794" w:footer="720" w:gutter="0"/>
      <w:cols w:space="720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.VnTime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imesNewRomanPS-Italic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IDFont+F2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44014109"/>
    </w:sdtPr>
    <w:sdtContent>
      <w:p w14:paraId="7529CE16">
        <w:pPr>
          <w:pStyle w:val="1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D4117C">
    <w:pPr>
      <w:pStyle w:val="1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B525D2"/>
    <w:multiLevelType w:val="multilevel"/>
    <w:tmpl w:val="2DB525D2"/>
    <w:lvl w:ilvl="0" w:tentative="0">
      <w:start w:val="30"/>
      <w:numFmt w:val="bullet"/>
      <w:pStyle w:val="37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38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pStyle w:val="39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34A"/>
    <w:rsid w:val="0000469E"/>
    <w:rsid w:val="00016543"/>
    <w:rsid w:val="0003206E"/>
    <w:rsid w:val="00033333"/>
    <w:rsid w:val="00047272"/>
    <w:rsid w:val="00054E19"/>
    <w:rsid w:val="00063162"/>
    <w:rsid w:val="000823AA"/>
    <w:rsid w:val="0009380B"/>
    <w:rsid w:val="00093CAD"/>
    <w:rsid w:val="000A6F5A"/>
    <w:rsid w:val="000B6CE4"/>
    <w:rsid w:val="000E72C5"/>
    <w:rsid w:val="000F060E"/>
    <w:rsid w:val="00111F33"/>
    <w:rsid w:val="00117F5E"/>
    <w:rsid w:val="001312E2"/>
    <w:rsid w:val="001342AC"/>
    <w:rsid w:val="00141F19"/>
    <w:rsid w:val="00151BE1"/>
    <w:rsid w:val="001776E9"/>
    <w:rsid w:val="001926A5"/>
    <w:rsid w:val="001A7EEC"/>
    <w:rsid w:val="001B5BEA"/>
    <w:rsid w:val="001B7891"/>
    <w:rsid w:val="001C66CB"/>
    <w:rsid w:val="001D1E0E"/>
    <w:rsid w:val="001D358F"/>
    <w:rsid w:val="001D3872"/>
    <w:rsid w:val="001D5EFB"/>
    <w:rsid w:val="001D612E"/>
    <w:rsid w:val="001E616B"/>
    <w:rsid w:val="001F6BF2"/>
    <w:rsid w:val="00205620"/>
    <w:rsid w:val="00224EC0"/>
    <w:rsid w:val="00227517"/>
    <w:rsid w:val="002710AD"/>
    <w:rsid w:val="00294B11"/>
    <w:rsid w:val="002951FB"/>
    <w:rsid w:val="002C3DC2"/>
    <w:rsid w:val="002D6BD1"/>
    <w:rsid w:val="002E6B8E"/>
    <w:rsid w:val="002E6F30"/>
    <w:rsid w:val="0030300C"/>
    <w:rsid w:val="00305630"/>
    <w:rsid w:val="00307815"/>
    <w:rsid w:val="00342DC5"/>
    <w:rsid w:val="00347F74"/>
    <w:rsid w:val="00374CF1"/>
    <w:rsid w:val="003826D1"/>
    <w:rsid w:val="0038454A"/>
    <w:rsid w:val="0039294E"/>
    <w:rsid w:val="003A2EB1"/>
    <w:rsid w:val="003A37C7"/>
    <w:rsid w:val="003A51A6"/>
    <w:rsid w:val="003F183A"/>
    <w:rsid w:val="003F50C5"/>
    <w:rsid w:val="004268F9"/>
    <w:rsid w:val="0044052B"/>
    <w:rsid w:val="00440688"/>
    <w:rsid w:val="004A63E3"/>
    <w:rsid w:val="004B540B"/>
    <w:rsid w:val="004D421D"/>
    <w:rsid w:val="004F6D52"/>
    <w:rsid w:val="005025DF"/>
    <w:rsid w:val="00506ADF"/>
    <w:rsid w:val="005229AC"/>
    <w:rsid w:val="00571264"/>
    <w:rsid w:val="00575009"/>
    <w:rsid w:val="00587AF5"/>
    <w:rsid w:val="00597811"/>
    <w:rsid w:val="005C4EC9"/>
    <w:rsid w:val="00606716"/>
    <w:rsid w:val="006757ED"/>
    <w:rsid w:val="00680A20"/>
    <w:rsid w:val="00682631"/>
    <w:rsid w:val="00684179"/>
    <w:rsid w:val="00696B66"/>
    <w:rsid w:val="006A3D37"/>
    <w:rsid w:val="006F6D3B"/>
    <w:rsid w:val="00716607"/>
    <w:rsid w:val="007B622D"/>
    <w:rsid w:val="007B6F65"/>
    <w:rsid w:val="007D622F"/>
    <w:rsid w:val="007E0398"/>
    <w:rsid w:val="007E26BF"/>
    <w:rsid w:val="007E476F"/>
    <w:rsid w:val="007F51B3"/>
    <w:rsid w:val="00800BE6"/>
    <w:rsid w:val="00802C14"/>
    <w:rsid w:val="0080692A"/>
    <w:rsid w:val="00821B23"/>
    <w:rsid w:val="00823C0F"/>
    <w:rsid w:val="008245A4"/>
    <w:rsid w:val="00842536"/>
    <w:rsid w:val="0084264D"/>
    <w:rsid w:val="00842BCC"/>
    <w:rsid w:val="00851306"/>
    <w:rsid w:val="008764F1"/>
    <w:rsid w:val="00891257"/>
    <w:rsid w:val="008A4C49"/>
    <w:rsid w:val="008B419C"/>
    <w:rsid w:val="008B49E1"/>
    <w:rsid w:val="008D1991"/>
    <w:rsid w:val="008D797F"/>
    <w:rsid w:val="0090156F"/>
    <w:rsid w:val="00904E43"/>
    <w:rsid w:val="00922CA4"/>
    <w:rsid w:val="00933A26"/>
    <w:rsid w:val="009535C6"/>
    <w:rsid w:val="009701AC"/>
    <w:rsid w:val="009B240B"/>
    <w:rsid w:val="009C06A1"/>
    <w:rsid w:val="009D0B9C"/>
    <w:rsid w:val="009D182C"/>
    <w:rsid w:val="009F08D5"/>
    <w:rsid w:val="009F6066"/>
    <w:rsid w:val="00A02C0E"/>
    <w:rsid w:val="00A043D6"/>
    <w:rsid w:val="00A25B4F"/>
    <w:rsid w:val="00A3430B"/>
    <w:rsid w:val="00A34EDC"/>
    <w:rsid w:val="00A5547C"/>
    <w:rsid w:val="00A56E6F"/>
    <w:rsid w:val="00A70FDC"/>
    <w:rsid w:val="00A722D5"/>
    <w:rsid w:val="00A90E9F"/>
    <w:rsid w:val="00A9257A"/>
    <w:rsid w:val="00AA3D61"/>
    <w:rsid w:val="00AA7B8A"/>
    <w:rsid w:val="00AB487F"/>
    <w:rsid w:val="00AD4614"/>
    <w:rsid w:val="00AD6635"/>
    <w:rsid w:val="00AE7254"/>
    <w:rsid w:val="00B01946"/>
    <w:rsid w:val="00B12FD2"/>
    <w:rsid w:val="00B20988"/>
    <w:rsid w:val="00B45C40"/>
    <w:rsid w:val="00B53114"/>
    <w:rsid w:val="00B6562B"/>
    <w:rsid w:val="00B85572"/>
    <w:rsid w:val="00B85EC8"/>
    <w:rsid w:val="00B9251B"/>
    <w:rsid w:val="00BA1053"/>
    <w:rsid w:val="00BB4AC0"/>
    <w:rsid w:val="00BB6E7D"/>
    <w:rsid w:val="00BB786C"/>
    <w:rsid w:val="00BC0925"/>
    <w:rsid w:val="00BC3926"/>
    <w:rsid w:val="00BE049B"/>
    <w:rsid w:val="00BE0621"/>
    <w:rsid w:val="00BE28D1"/>
    <w:rsid w:val="00BE61A2"/>
    <w:rsid w:val="00BE6C4B"/>
    <w:rsid w:val="00BF0AEB"/>
    <w:rsid w:val="00BF203A"/>
    <w:rsid w:val="00C03629"/>
    <w:rsid w:val="00C5534A"/>
    <w:rsid w:val="00C66588"/>
    <w:rsid w:val="00C95B6A"/>
    <w:rsid w:val="00CA2386"/>
    <w:rsid w:val="00CD0695"/>
    <w:rsid w:val="00D102E0"/>
    <w:rsid w:val="00D208B6"/>
    <w:rsid w:val="00D21CA9"/>
    <w:rsid w:val="00D23598"/>
    <w:rsid w:val="00D36BDD"/>
    <w:rsid w:val="00D36BFA"/>
    <w:rsid w:val="00D53C89"/>
    <w:rsid w:val="00D5476D"/>
    <w:rsid w:val="00D63AFD"/>
    <w:rsid w:val="00D90699"/>
    <w:rsid w:val="00DC6365"/>
    <w:rsid w:val="00E0460C"/>
    <w:rsid w:val="00E11679"/>
    <w:rsid w:val="00E20AFA"/>
    <w:rsid w:val="00E44139"/>
    <w:rsid w:val="00E55B04"/>
    <w:rsid w:val="00E57F4D"/>
    <w:rsid w:val="00E650BB"/>
    <w:rsid w:val="00E729B9"/>
    <w:rsid w:val="00EA1FDF"/>
    <w:rsid w:val="00EB458F"/>
    <w:rsid w:val="00ED713B"/>
    <w:rsid w:val="00EE4A20"/>
    <w:rsid w:val="00F16EEA"/>
    <w:rsid w:val="00F43A24"/>
    <w:rsid w:val="00F452D5"/>
    <w:rsid w:val="00F66CAB"/>
    <w:rsid w:val="00FA4DED"/>
    <w:rsid w:val="00FA5DF8"/>
    <w:rsid w:val="00FB509B"/>
    <w:rsid w:val="00FB71D1"/>
    <w:rsid w:val="00FD1374"/>
    <w:rsid w:val="00FD315D"/>
    <w:rsid w:val="00FD46E4"/>
    <w:rsid w:val="04E07FB0"/>
    <w:rsid w:val="057F32C4"/>
    <w:rsid w:val="05B66C8F"/>
    <w:rsid w:val="0FDD251E"/>
    <w:rsid w:val="10872C88"/>
    <w:rsid w:val="15AB6C23"/>
    <w:rsid w:val="189643A1"/>
    <w:rsid w:val="1AC518E9"/>
    <w:rsid w:val="1B2E5220"/>
    <w:rsid w:val="20733BB2"/>
    <w:rsid w:val="21060383"/>
    <w:rsid w:val="23F15106"/>
    <w:rsid w:val="28432A32"/>
    <w:rsid w:val="2AE412DF"/>
    <w:rsid w:val="2D81372F"/>
    <w:rsid w:val="31642534"/>
    <w:rsid w:val="31C43082"/>
    <w:rsid w:val="35324954"/>
    <w:rsid w:val="3D8634CA"/>
    <w:rsid w:val="3F4D0EE6"/>
    <w:rsid w:val="46832BA6"/>
    <w:rsid w:val="48660E95"/>
    <w:rsid w:val="50D5176D"/>
    <w:rsid w:val="51711289"/>
    <w:rsid w:val="5C8D4152"/>
    <w:rsid w:val="5C9662ED"/>
    <w:rsid w:val="5C9E5181"/>
    <w:rsid w:val="63BA4952"/>
    <w:rsid w:val="6B973A6A"/>
    <w:rsid w:val="6C01543E"/>
    <w:rsid w:val="6C0A3231"/>
    <w:rsid w:val="70487D34"/>
    <w:rsid w:val="74C35ED1"/>
    <w:rsid w:val="77D319A9"/>
    <w:rsid w:val="781C4E9C"/>
    <w:rsid w:val="79806B30"/>
    <w:rsid w:val="7BE2764E"/>
    <w:rsid w:val="7D9E75A3"/>
    <w:rsid w:val="7E7A117B"/>
    <w:rsid w:val="7E9F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semiHidden="0" w:name="heading 4"/>
    <w:lsdException w:qFormat="1" w:uiPriority="0" w:semiHidden="0" w:name="heading 5"/>
    <w:lsdException w:qFormat="1" w:uiPriority="9" w:name="heading 6"/>
    <w:lsdException w:qFormat="1" w:unhideWhenUsed="0" w:uiPriority="0" w:semiHidden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.VnTime" w:hAnsi=".VnTime" w:eastAsia="Times New Roman" w:cs="Times New Roman"/>
      <w:sz w:val="28"/>
      <w:lang w:val="en-US" w:eastAsia="en-US" w:bidi="ar-SA"/>
    </w:rPr>
  </w:style>
  <w:style w:type="paragraph" w:styleId="2">
    <w:name w:val="heading 1"/>
    <w:basedOn w:val="1"/>
    <w:next w:val="1"/>
    <w:link w:val="20"/>
    <w:autoRedefine/>
    <w:qFormat/>
    <w:uiPriority w:val="0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paragraph" w:styleId="3">
    <w:name w:val="heading 2"/>
    <w:basedOn w:val="1"/>
    <w:next w:val="1"/>
    <w:link w:val="21"/>
    <w:autoRedefine/>
    <w:unhideWhenUsed/>
    <w:qFormat/>
    <w:uiPriority w:val="0"/>
    <w:pPr>
      <w:keepNext/>
      <w:keepLines/>
      <w:spacing w:before="120"/>
      <w:outlineLvl w:val="1"/>
    </w:pPr>
    <w:rPr>
      <w:rFonts w:eastAsiaTheme="majorEastAsia" w:cstheme="majorBidi"/>
      <w:b/>
      <w:szCs w:val="26"/>
    </w:rPr>
  </w:style>
  <w:style w:type="paragraph" w:styleId="4">
    <w:name w:val="heading 3"/>
    <w:basedOn w:val="1"/>
    <w:next w:val="1"/>
    <w:link w:val="22"/>
    <w:autoRedefine/>
    <w:unhideWhenUsed/>
    <w:qFormat/>
    <w:uiPriority w:val="0"/>
    <w:pPr>
      <w:keepNext/>
      <w:keepLines/>
      <w:spacing w:before="120"/>
      <w:outlineLvl w:val="2"/>
    </w:pPr>
    <w:rPr>
      <w:rFonts w:eastAsiaTheme="majorEastAsia" w:cstheme="majorBidi"/>
      <w:b/>
      <w:i/>
      <w:szCs w:val="24"/>
    </w:rPr>
  </w:style>
  <w:style w:type="paragraph" w:styleId="5">
    <w:name w:val="heading 4"/>
    <w:basedOn w:val="1"/>
    <w:next w:val="1"/>
    <w:link w:val="23"/>
    <w:autoRedefine/>
    <w:unhideWhenUsed/>
    <w:qFormat/>
    <w:uiPriority w:val="9"/>
    <w:pPr>
      <w:keepNext/>
      <w:keepLines/>
      <w:spacing w:before="120"/>
      <w:outlineLvl w:val="3"/>
    </w:pPr>
    <w:rPr>
      <w:rFonts w:eastAsiaTheme="majorEastAsia" w:cstheme="majorBidi"/>
      <w:i/>
      <w:iCs/>
    </w:rPr>
  </w:style>
  <w:style w:type="paragraph" w:styleId="6">
    <w:name w:val="heading 5"/>
    <w:basedOn w:val="1"/>
    <w:next w:val="1"/>
    <w:link w:val="40"/>
    <w:unhideWhenUsed/>
    <w:qFormat/>
    <w:uiPriority w:val="0"/>
    <w:pPr>
      <w:keepNext/>
      <w:keepLines/>
      <w:spacing w:before="40"/>
      <w:outlineLvl w:val="4"/>
    </w:pPr>
    <w:rPr>
      <w:rFonts w:asciiTheme="majorHAnsi" w:hAnsiTheme="majorHAnsi"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44"/>
    <w:semiHidden/>
    <w:unhideWhenUsed/>
    <w:qFormat/>
    <w:uiPriority w:val="9"/>
    <w:pPr>
      <w:keepNext/>
      <w:keepLines/>
      <w:spacing w:before="40"/>
      <w:outlineLvl w:val="5"/>
    </w:pPr>
    <w:rPr>
      <w:rFonts w:asciiTheme="majorHAnsi" w:hAnsiTheme="majorHAnsi" w:eastAsiaTheme="majorEastAsia" w:cstheme="majorBidi"/>
      <w:color w:val="203864" w:themeColor="accent1" w:themeShade="80"/>
    </w:rPr>
  </w:style>
  <w:style w:type="paragraph" w:styleId="8">
    <w:name w:val="heading 7"/>
    <w:basedOn w:val="1"/>
    <w:next w:val="1"/>
    <w:link w:val="24"/>
    <w:qFormat/>
    <w:uiPriority w:val="0"/>
    <w:pPr>
      <w:keepNext/>
      <w:jc w:val="center"/>
      <w:outlineLvl w:val="6"/>
    </w:pPr>
    <w:rPr>
      <w:b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27"/>
    <w:qFormat/>
    <w:uiPriority w:val="0"/>
  </w:style>
  <w:style w:type="paragraph" w:styleId="12">
    <w:name w:val="Body Text 2"/>
    <w:basedOn w:val="1"/>
    <w:link w:val="31"/>
    <w:qFormat/>
    <w:uiPriority w:val="0"/>
    <w:pPr>
      <w:spacing w:after="120" w:line="480" w:lineRule="auto"/>
    </w:pPr>
  </w:style>
  <w:style w:type="paragraph" w:styleId="13">
    <w:name w:val="Body Text Indent"/>
    <w:basedOn w:val="1"/>
    <w:link w:val="29"/>
    <w:qFormat/>
    <w:uiPriority w:val="0"/>
    <w:pPr>
      <w:jc w:val="both"/>
    </w:pPr>
    <w:rPr>
      <w:sz w:val="26"/>
    </w:rPr>
  </w:style>
  <w:style w:type="paragraph" w:styleId="14">
    <w:name w:val="footer"/>
    <w:basedOn w:val="1"/>
    <w:link w:val="35"/>
    <w:unhideWhenUsed/>
    <w:qFormat/>
    <w:uiPriority w:val="99"/>
    <w:pPr>
      <w:tabs>
        <w:tab w:val="center" w:pos="4680"/>
        <w:tab w:val="right" w:pos="9360"/>
      </w:tabs>
    </w:pPr>
  </w:style>
  <w:style w:type="paragraph" w:styleId="15">
    <w:name w:val="header"/>
    <w:basedOn w:val="1"/>
    <w:link w:val="34"/>
    <w:unhideWhenUsed/>
    <w:qFormat/>
    <w:uiPriority w:val="99"/>
    <w:pPr>
      <w:tabs>
        <w:tab w:val="center" w:pos="4680"/>
        <w:tab w:val="right" w:pos="9360"/>
      </w:tabs>
    </w:pPr>
  </w:style>
  <w:style w:type="character" w:styleId="16">
    <w:name w:val="Hyperlink"/>
    <w:qFormat/>
    <w:uiPriority w:val="99"/>
    <w:rPr>
      <w:color w:val="0000FF"/>
      <w:u w:val="single"/>
    </w:rPr>
  </w:style>
  <w:style w:type="paragraph" w:styleId="17">
    <w:name w:val="Normal (Web)"/>
    <w:basedOn w:val="1"/>
    <w:qFormat/>
    <w:uiPriority w:val="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18">
    <w:name w:val="Subtitle"/>
    <w:basedOn w:val="1"/>
    <w:link w:val="28"/>
    <w:qFormat/>
    <w:uiPriority w:val="0"/>
    <w:pPr>
      <w:spacing w:before="60" w:after="60"/>
    </w:pPr>
    <w:rPr>
      <w:rFonts w:ascii="Times New Roman" w:hAnsi="Times New Roman"/>
      <w:b/>
    </w:rPr>
  </w:style>
  <w:style w:type="table" w:styleId="19">
    <w:name w:val="Table Grid"/>
    <w:basedOn w:val="10"/>
    <w:qFormat/>
    <w:uiPriority w:val="59"/>
    <w:rPr>
      <w:rFonts w:ascii="Times New Roman" w:hAnsi="Times New Roman" w:eastAsia="Times New Roman" w:cs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20">
    <w:name w:val="Heading 1 Char"/>
    <w:basedOn w:val="9"/>
    <w:link w:val="2"/>
    <w:qFormat/>
    <w:uiPriority w:val="9"/>
    <w:rPr>
      <w:rFonts w:ascii="Times New Roman" w:hAnsi="Times New Roman" w:eastAsiaTheme="majorEastAsia" w:cstheme="majorBidi"/>
      <w:b/>
      <w:sz w:val="26"/>
      <w:szCs w:val="32"/>
    </w:rPr>
  </w:style>
  <w:style w:type="character" w:customStyle="1" w:styleId="21">
    <w:name w:val="Heading 2 Char"/>
    <w:basedOn w:val="9"/>
    <w:link w:val="3"/>
    <w:semiHidden/>
    <w:qFormat/>
    <w:uiPriority w:val="9"/>
    <w:rPr>
      <w:rFonts w:ascii="Times New Roman" w:hAnsi="Times New Roman" w:eastAsiaTheme="majorEastAsia" w:cstheme="majorBidi"/>
      <w:b/>
      <w:sz w:val="26"/>
      <w:szCs w:val="26"/>
    </w:rPr>
  </w:style>
  <w:style w:type="character" w:customStyle="1" w:styleId="22">
    <w:name w:val="Heading 3 Char"/>
    <w:basedOn w:val="9"/>
    <w:link w:val="4"/>
    <w:qFormat/>
    <w:uiPriority w:val="0"/>
    <w:rPr>
      <w:rFonts w:ascii="Times New Roman" w:hAnsi="Times New Roman" w:eastAsiaTheme="majorEastAsia" w:cstheme="majorBidi"/>
      <w:b/>
      <w:i/>
      <w:sz w:val="26"/>
      <w:szCs w:val="24"/>
    </w:rPr>
  </w:style>
  <w:style w:type="character" w:customStyle="1" w:styleId="23">
    <w:name w:val="Heading 4 Char"/>
    <w:basedOn w:val="9"/>
    <w:link w:val="5"/>
    <w:qFormat/>
    <w:uiPriority w:val="9"/>
    <w:rPr>
      <w:rFonts w:ascii="Times New Roman" w:hAnsi="Times New Roman" w:eastAsiaTheme="majorEastAsia" w:cstheme="majorBidi"/>
      <w:i/>
      <w:iCs/>
      <w:sz w:val="26"/>
    </w:rPr>
  </w:style>
  <w:style w:type="character" w:customStyle="1" w:styleId="24">
    <w:name w:val="Heading 7 Char"/>
    <w:basedOn w:val="9"/>
    <w:link w:val="8"/>
    <w:qFormat/>
    <w:uiPriority w:val="0"/>
    <w:rPr>
      <w:rFonts w:ascii=".VnTime" w:hAnsi=".VnTime" w:eastAsia="Times New Roman" w:cs="Times New Roman"/>
      <w:b/>
      <w:sz w:val="28"/>
      <w:szCs w:val="20"/>
    </w:rPr>
  </w:style>
  <w:style w:type="character" w:customStyle="1" w:styleId="25">
    <w:name w:val="Body Text Char"/>
    <w:basedOn w:val="9"/>
    <w:semiHidden/>
    <w:qFormat/>
    <w:uiPriority w:val="99"/>
    <w:rPr>
      <w:rFonts w:ascii=".VnTime" w:hAnsi=".VnTime" w:eastAsia="Times New Roman" w:cs="Times New Roman"/>
      <w:sz w:val="28"/>
      <w:szCs w:val="20"/>
    </w:rPr>
  </w:style>
  <w:style w:type="character" w:customStyle="1" w:styleId="26">
    <w:name w:val="Body Text Indent Char"/>
    <w:basedOn w:val="9"/>
    <w:semiHidden/>
    <w:qFormat/>
    <w:uiPriority w:val="99"/>
    <w:rPr>
      <w:rFonts w:ascii=".VnTime" w:hAnsi=".VnTime" w:eastAsia="Times New Roman" w:cs="Times New Roman"/>
      <w:sz w:val="28"/>
      <w:szCs w:val="20"/>
    </w:rPr>
  </w:style>
  <w:style w:type="character" w:customStyle="1" w:styleId="27">
    <w:name w:val="Body Text Char1"/>
    <w:basedOn w:val="9"/>
    <w:link w:val="11"/>
    <w:qFormat/>
    <w:uiPriority w:val="0"/>
    <w:rPr>
      <w:rFonts w:ascii=".VnTime" w:hAnsi=".VnTime" w:eastAsia="Times New Roman" w:cs="Times New Roman"/>
      <w:sz w:val="28"/>
      <w:szCs w:val="20"/>
    </w:rPr>
  </w:style>
  <w:style w:type="character" w:customStyle="1" w:styleId="28">
    <w:name w:val="Subtitle Char"/>
    <w:basedOn w:val="9"/>
    <w:link w:val="18"/>
    <w:qFormat/>
    <w:uiPriority w:val="0"/>
    <w:rPr>
      <w:rFonts w:ascii="Times New Roman" w:hAnsi="Times New Roman" w:eastAsia="Times New Roman" w:cs="Times New Roman"/>
      <w:b/>
      <w:sz w:val="28"/>
      <w:szCs w:val="20"/>
    </w:rPr>
  </w:style>
  <w:style w:type="character" w:customStyle="1" w:styleId="29">
    <w:name w:val="Body Text Indent Char1"/>
    <w:basedOn w:val="9"/>
    <w:link w:val="13"/>
    <w:qFormat/>
    <w:uiPriority w:val="0"/>
    <w:rPr>
      <w:rFonts w:ascii=".VnTime" w:hAnsi=".VnTime" w:eastAsia="Times New Roman" w:cs="Times New Roman"/>
      <w:sz w:val="26"/>
      <w:szCs w:val="20"/>
    </w:rPr>
  </w:style>
  <w:style w:type="paragraph" w:customStyle="1" w:styleId="30">
    <w:name w:val="H4"/>
    <w:basedOn w:val="1"/>
    <w:next w:val="1"/>
    <w:qFormat/>
    <w:uiPriority w:val="0"/>
    <w:pPr>
      <w:keepNext/>
      <w:widowControl w:val="0"/>
      <w:spacing w:before="100" w:after="100"/>
      <w:outlineLvl w:val="4"/>
    </w:pPr>
    <w:rPr>
      <w:rFonts w:ascii="Times New Roman" w:hAnsi="Times New Roman"/>
      <w:b/>
      <w:snapToGrid w:val="0"/>
      <w:sz w:val="24"/>
    </w:rPr>
  </w:style>
  <w:style w:type="character" w:customStyle="1" w:styleId="31">
    <w:name w:val="Body Text 2 Char"/>
    <w:basedOn w:val="9"/>
    <w:link w:val="12"/>
    <w:qFormat/>
    <w:uiPriority w:val="0"/>
    <w:rPr>
      <w:rFonts w:ascii=".VnTime" w:hAnsi=".VnTime" w:eastAsia="Times New Roman" w:cs="Times New Roman"/>
      <w:sz w:val="28"/>
      <w:szCs w:val="20"/>
    </w:rPr>
  </w:style>
  <w:style w:type="paragraph" w:styleId="32">
    <w:name w:val="List Paragraph"/>
    <w:basedOn w:val="1"/>
    <w:link w:val="33"/>
    <w:qFormat/>
    <w:uiPriority w:val="34"/>
    <w:pPr>
      <w:ind w:left="720"/>
      <w:contextualSpacing/>
    </w:pPr>
  </w:style>
  <w:style w:type="character" w:customStyle="1" w:styleId="33">
    <w:name w:val="List Paragraph Char"/>
    <w:basedOn w:val="9"/>
    <w:link w:val="32"/>
    <w:qFormat/>
    <w:uiPriority w:val="34"/>
    <w:rPr>
      <w:rFonts w:ascii=".VnTime" w:hAnsi=".VnTime" w:eastAsia="Times New Roman" w:cs="Times New Roman"/>
      <w:sz w:val="28"/>
      <w:szCs w:val="20"/>
    </w:rPr>
  </w:style>
  <w:style w:type="character" w:customStyle="1" w:styleId="34">
    <w:name w:val="Header Char"/>
    <w:basedOn w:val="9"/>
    <w:link w:val="15"/>
    <w:qFormat/>
    <w:uiPriority w:val="99"/>
    <w:rPr>
      <w:rFonts w:ascii=".VnTime" w:hAnsi=".VnTime" w:eastAsia="Times New Roman" w:cs="Times New Roman"/>
      <w:sz w:val="28"/>
      <w:szCs w:val="20"/>
    </w:rPr>
  </w:style>
  <w:style w:type="character" w:customStyle="1" w:styleId="35">
    <w:name w:val="Footer Char"/>
    <w:basedOn w:val="9"/>
    <w:link w:val="14"/>
    <w:qFormat/>
    <w:uiPriority w:val="99"/>
    <w:rPr>
      <w:rFonts w:ascii=".VnTime" w:hAnsi=".VnTime" w:eastAsia="Times New Roman" w:cs="Times New Roman"/>
      <w:sz w:val="28"/>
      <w:szCs w:val="20"/>
    </w:rPr>
  </w:style>
  <w:style w:type="character" w:customStyle="1" w:styleId="36">
    <w:name w:val="fontstyle01"/>
    <w:qFormat/>
    <w:uiPriority w:val="0"/>
    <w:rPr>
      <w:rFonts w:hint="default" w:ascii="TimesNewRomanPS-ItalicMT" w:hAnsi="TimesNewRomanPS-ItalicMT"/>
      <w:i/>
      <w:iCs/>
      <w:color w:val="000000"/>
      <w:sz w:val="26"/>
      <w:szCs w:val="26"/>
    </w:rPr>
  </w:style>
  <w:style w:type="paragraph" w:customStyle="1" w:styleId="37">
    <w:name w:val="Spiegelstrich1"/>
    <w:basedOn w:val="1"/>
    <w:qFormat/>
    <w:uiPriority w:val="0"/>
    <w:pPr>
      <w:keepNext/>
      <w:keepLines/>
      <w:numPr>
        <w:ilvl w:val="0"/>
        <w:numId w:val="1"/>
      </w:numPr>
      <w:tabs>
        <w:tab w:val="left" w:pos="284"/>
      </w:tabs>
      <w:spacing w:before="60"/>
      <w:ind w:left="360"/>
      <w:jc w:val="both"/>
    </w:pPr>
    <w:rPr>
      <w:rFonts w:ascii="Arial" w:hAnsi="Arial"/>
      <w:sz w:val="22"/>
      <w:lang w:val="en-GB"/>
    </w:rPr>
  </w:style>
  <w:style w:type="paragraph" w:customStyle="1" w:styleId="38">
    <w:name w:val="Style Heading 3 + Violet"/>
    <w:basedOn w:val="4"/>
    <w:qFormat/>
    <w:uiPriority w:val="0"/>
    <w:pPr>
      <w:keepNext w:val="0"/>
      <w:keepLines w:val="0"/>
      <w:numPr>
        <w:ilvl w:val="2"/>
        <w:numId w:val="1"/>
      </w:numPr>
      <w:suppressAutoHyphens/>
      <w:spacing w:after="40"/>
      <w:ind w:left="720"/>
      <w:jc w:val="center"/>
    </w:pPr>
    <w:rPr>
      <w:rFonts w:ascii="Calibri" w:hAnsi="Calibri" w:eastAsia="Calibri" w:cs="Times New Roman"/>
      <w:bCs/>
      <w:i w:val="0"/>
      <w:color w:val="800080"/>
      <w:sz w:val="24"/>
      <w:szCs w:val="20"/>
      <w:lang w:val="zh-CN" w:eastAsia="zh-CN"/>
    </w:rPr>
  </w:style>
  <w:style w:type="paragraph" w:customStyle="1" w:styleId="39">
    <w:name w:val="Style Heading 5 + Before:  3 pt"/>
    <w:basedOn w:val="6"/>
    <w:qFormat/>
    <w:uiPriority w:val="0"/>
    <w:pPr>
      <w:keepNext w:val="0"/>
      <w:keepLines w:val="0"/>
      <w:numPr>
        <w:ilvl w:val="4"/>
        <w:numId w:val="1"/>
      </w:numPr>
      <w:tabs>
        <w:tab w:val="left" w:pos="1008"/>
      </w:tabs>
      <w:spacing w:before="60" w:after="60"/>
      <w:ind w:left="441"/>
    </w:pPr>
    <w:rPr>
      <w:rFonts w:ascii="Calibri" w:hAnsi="Calibri" w:eastAsia="Calibri" w:cs="Times New Roman"/>
      <w:b/>
      <w:bCs/>
      <w:i/>
      <w:iCs/>
      <w:color w:val="auto"/>
      <w:sz w:val="26"/>
      <w:lang w:val="zh-CN" w:eastAsia="zh-CN"/>
    </w:rPr>
  </w:style>
  <w:style w:type="character" w:customStyle="1" w:styleId="40">
    <w:name w:val="Heading 5 Char"/>
    <w:basedOn w:val="9"/>
    <w:link w:val="6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28"/>
      <w:szCs w:val="20"/>
    </w:rPr>
  </w:style>
  <w:style w:type="paragraph" w:customStyle="1" w:styleId="41">
    <w:name w:val="Style Heading 4 + Times New Roman 12 pt"/>
    <w:basedOn w:val="5"/>
    <w:qFormat/>
    <w:uiPriority w:val="0"/>
    <w:pPr>
      <w:keepNext w:val="0"/>
      <w:keepLines w:val="0"/>
      <w:tabs>
        <w:tab w:val="left" w:pos="851"/>
      </w:tabs>
      <w:spacing w:after="120"/>
      <w:ind w:left="851" w:hanging="851"/>
      <w:jc w:val="both"/>
    </w:pPr>
    <w:rPr>
      <w:rFonts w:ascii="Arial" w:hAnsi="Arial" w:eastAsia="Times New Roman" w:cs="Times New Roman"/>
      <w:b/>
      <w:i w:val="0"/>
      <w:iCs w:val="0"/>
      <w:sz w:val="24"/>
      <w:szCs w:val="24"/>
      <w:lang w:val="en-GB" w:eastAsia="zh-CN"/>
    </w:rPr>
  </w:style>
  <w:style w:type="paragraph" w:customStyle="1" w:styleId="42">
    <w:name w:val="Style Heading 6 + Times New Roman 12 pt"/>
    <w:basedOn w:val="7"/>
    <w:qFormat/>
    <w:uiPriority w:val="0"/>
    <w:pPr>
      <w:keepNext w:val="0"/>
      <w:keepLines w:val="0"/>
      <w:tabs>
        <w:tab w:val="left" w:pos="5103"/>
        <w:tab w:val="left" w:pos="7655"/>
      </w:tabs>
      <w:spacing w:before="120" w:after="120"/>
      <w:ind w:left="4320" w:hanging="180"/>
      <w:jc w:val="both"/>
    </w:pPr>
    <w:rPr>
      <w:rFonts w:ascii="Arial" w:hAnsi="Arial" w:eastAsia="Times New Roman" w:cs="Times New Roman"/>
      <w:color w:val="auto"/>
      <w:sz w:val="24"/>
      <w:szCs w:val="24"/>
      <w:lang w:val="en-GB" w:eastAsia="zh-CN"/>
    </w:rPr>
  </w:style>
  <w:style w:type="paragraph" w:customStyle="1" w:styleId="43">
    <w:name w:val="Style Heading 3 + Times New Roman 12 pt"/>
    <w:basedOn w:val="4"/>
    <w:qFormat/>
    <w:uiPriority w:val="0"/>
    <w:pPr>
      <w:keepLines w:val="0"/>
      <w:tabs>
        <w:tab w:val="left" w:pos="851"/>
        <w:tab w:val="left" w:pos="900"/>
      </w:tabs>
      <w:overflowPunct w:val="0"/>
      <w:autoSpaceDE w:val="0"/>
      <w:autoSpaceDN w:val="0"/>
      <w:adjustRightInd w:val="0"/>
      <w:spacing w:after="120"/>
      <w:ind w:left="851" w:right="57" w:hanging="851"/>
      <w:jc w:val="both"/>
      <w:textAlignment w:val="baseline"/>
    </w:pPr>
    <w:rPr>
      <w:rFonts w:ascii="Times New Roman" w:hAnsi="Times New Roman" w:eastAsia="Times New Roman" w:cs="Times New Roman"/>
      <w:i w:val="0"/>
      <w:sz w:val="24"/>
      <w:lang w:val="en-GB" w:eastAsia="zh-CN"/>
    </w:rPr>
  </w:style>
  <w:style w:type="character" w:customStyle="1" w:styleId="44">
    <w:name w:val="Heading 6 Char"/>
    <w:basedOn w:val="9"/>
    <w:link w:val="7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8"/>
      <w:szCs w:val="20"/>
    </w:rPr>
  </w:style>
  <w:style w:type="character" w:customStyle="1" w:styleId="45">
    <w:name w:val="fontstyle21"/>
    <w:qFormat/>
    <w:uiPriority w:val="0"/>
    <w:rPr>
      <w:rFonts w:hint="default" w:ascii="CIDFont+F2" w:hAnsi="CIDFont+F2"/>
      <w:b/>
      <w:bCs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824</Words>
  <Characters>4699</Characters>
  <Lines>39</Lines>
  <Paragraphs>11</Paragraphs>
  <TotalTime>3</TotalTime>
  <ScaleCrop>false</ScaleCrop>
  <LinksUpToDate>false</LinksUpToDate>
  <CharactersWithSpaces>5512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2025-07-17T04:19:00Z</dcterms:created>
  <dc:creator>Phùng Thị Hương Thảo (NPMB)</dc:creator>
  <cp:lastModifiedBy>huong thao phung</cp:lastModifiedBy>
  <dcterms:modified xsi:type="dcterms:W3CDTF">2025-07-17T09:18:40Z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E03A170E42624073AB9342972CB1271F_12</vt:lpwstr>
  </property>
</Properties>
</file>